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B66AD" w14:textId="77777777" w:rsidR="009D08EB" w:rsidRPr="00132B16" w:rsidRDefault="00B23806" w:rsidP="00B23806">
      <w:pPr>
        <w:autoSpaceDE w:val="0"/>
        <w:autoSpaceDN w:val="0"/>
        <w:adjustRightInd w:val="0"/>
        <w:rPr>
          <w:rFonts w:eastAsiaTheme="minorHAnsi" w:cs="Arial"/>
          <w:b/>
          <w:bCs/>
          <w:sz w:val="20"/>
        </w:rPr>
      </w:pPr>
      <w:r w:rsidRPr="00132B16">
        <w:rPr>
          <w:rFonts w:eastAsiaTheme="minorHAnsi" w:cs="Arial"/>
          <w:b/>
          <w:bCs/>
          <w:sz w:val="20"/>
        </w:rPr>
        <w:t xml:space="preserve">Croda International Plc </w:t>
      </w:r>
    </w:p>
    <w:p w14:paraId="08FF7FB9" w14:textId="3499C5F0" w:rsidR="00B23806" w:rsidRPr="00132B16" w:rsidRDefault="009D08EB" w:rsidP="00B23806">
      <w:pPr>
        <w:autoSpaceDE w:val="0"/>
        <w:autoSpaceDN w:val="0"/>
        <w:adjustRightInd w:val="0"/>
        <w:rPr>
          <w:rFonts w:eastAsiaTheme="minorHAnsi" w:cs="Arial"/>
          <w:b/>
          <w:bCs/>
          <w:sz w:val="20"/>
        </w:rPr>
      </w:pPr>
      <w:r w:rsidRPr="00132B16">
        <w:rPr>
          <w:rFonts w:eastAsiaTheme="minorHAnsi" w:cs="Arial"/>
          <w:b/>
          <w:bCs/>
          <w:sz w:val="20"/>
        </w:rPr>
        <w:t>Anti-Facilitation of Tax Evasion Statement</w:t>
      </w:r>
    </w:p>
    <w:p w14:paraId="1EC2C247" w14:textId="77777777" w:rsidR="008A28DD" w:rsidRPr="00132B16" w:rsidRDefault="008A28DD" w:rsidP="00B23806">
      <w:pPr>
        <w:autoSpaceDE w:val="0"/>
        <w:autoSpaceDN w:val="0"/>
        <w:adjustRightInd w:val="0"/>
        <w:rPr>
          <w:rFonts w:eastAsiaTheme="minorHAnsi" w:cs="Arial"/>
          <w:b/>
          <w:bCs/>
          <w:sz w:val="20"/>
        </w:rPr>
      </w:pPr>
    </w:p>
    <w:p w14:paraId="4CD3A3FD" w14:textId="05B57E81" w:rsidR="00B23806" w:rsidRPr="00132B16" w:rsidRDefault="00B23806" w:rsidP="00B23806">
      <w:pPr>
        <w:autoSpaceDE w:val="0"/>
        <w:autoSpaceDN w:val="0"/>
        <w:adjustRightInd w:val="0"/>
        <w:rPr>
          <w:rFonts w:eastAsiaTheme="minorHAnsi" w:cs="Arial"/>
          <w:sz w:val="20"/>
        </w:rPr>
      </w:pPr>
      <w:r w:rsidRPr="00132B16">
        <w:rPr>
          <w:rFonts w:eastAsiaTheme="minorHAnsi" w:cs="Arial"/>
          <w:b/>
          <w:bCs/>
          <w:sz w:val="20"/>
        </w:rPr>
        <w:t xml:space="preserve">Introduction </w:t>
      </w:r>
    </w:p>
    <w:p w14:paraId="2A37EF23" w14:textId="109467CE" w:rsidR="00CD39A6" w:rsidRPr="00132B16" w:rsidRDefault="009957CF" w:rsidP="00B23806">
      <w:pPr>
        <w:autoSpaceDE w:val="0"/>
        <w:autoSpaceDN w:val="0"/>
        <w:adjustRightInd w:val="0"/>
        <w:rPr>
          <w:rFonts w:eastAsiaTheme="minorHAnsi" w:cs="Arial"/>
          <w:sz w:val="20"/>
        </w:rPr>
      </w:pPr>
      <w:r w:rsidRPr="00132B16">
        <w:rPr>
          <w:rFonts w:eastAsiaTheme="minorHAnsi" w:cs="Arial"/>
          <w:sz w:val="20"/>
        </w:rPr>
        <w:t xml:space="preserve">This policy statement, approved by the Board of Croda International Plc, is published </w:t>
      </w:r>
      <w:r w:rsidR="00543E87" w:rsidRPr="00132B16">
        <w:rPr>
          <w:sz w:val="20"/>
        </w:rPr>
        <w:t>with reference to the obligations placed upon the business under</w:t>
      </w:r>
      <w:r w:rsidR="00543E87" w:rsidRPr="00132B16">
        <w:rPr>
          <w:i/>
          <w:iCs/>
          <w:sz w:val="20"/>
        </w:rPr>
        <w:t xml:space="preserve"> </w:t>
      </w:r>
      <w:r w:rsidRPr="00132B16">
        <w:rPr>
          <w:rFonts w:eastAsiaTheme="minorHAnsi" w:cs="Arial"/>
          <w:sz w:val="20"/>
        </w:rPr>
        <w:t xml:space="preserve">the </w:t>
      </w:r>
      <w:r w:rsidR="00BD2AAD" w:rsidRPr="00132B16">
        <w:rPr>
          <w:rFonts w:eastAsiaTheme="minorHAnsi" w:cs="Arial"/>
          <w:sz w:val="20"/>
        </w:rPr>
        <w:t xml:space="preserve">UK’s </w:t>
      </w:r>
      <w:r w:rsidRPr="00132B16">
        <w:rPr>
          <w:rFonts w:eastAsiaTheme="minorHAnsi" w:cs="Arial"/>
          <w:sz w:val="20"/>
        </w:rPr>
        <w:t xml:space="preserve">Criminal Finances Act 2017 (the “Act”). It sets out Group’s commitment </w:t>
      </w:r>
      <w:r w:rsidR="002C0FA1" w:rsidRPr="00132B16">
        <w:rPr>
          <w:rFonts w:eastAsiaTheme="minorHAnsi" w:cs="Arial"/>
          <w:sz w:val="20"/>
        </w:rPr>
        <w:t>to</w:t>
      </w:r>
      <w:r w:rsidRPr="00132B16">
        <w:rPr>
          <w:rFonts w:eastAsiaTheme="minorHAnsi" w:cs="Arial"/>
          <w:sz w:val="20"/>
        </w:rPr>
        <w:t xml:space="preserve"> preventing its associated persons (as defined by the Act), from engaging in the criminal facilitation of tax evasion in the UK, or in any foreign country</w:t>
      </w:r>
      <w:r w:rsidR="004279F9" w:rsidRPr="00132B16">
        <w:rPr>
          <w:rFonts w:eastAsiaTheme="minorHAnsi" w:cs="Arial"/>
          <w:sz w:val="20"/>
        </w:rPr>
        <w:t xml:space="preserve"> in which the Group operates</w:t>
      </w:r>
      <w:r w:rsidRPr="00132B16">
        <w:rPr>
          <w:rFonts w:eastAsiaTheme="minorHAnsi" w:cs="Arial"/>
          <w:sz w:val="20"/>
        </w:rPr>
        <w:t>.</w:t>
      </w:r>
    </w:p>
    <w:p w14:paraId="3EB86553" w14:textId="77777777" w:rsidR="004507CC" w:rsidRPr="00132B16" w:rsidRDefault="004507CC" w:rsidP="00B23806">
      <w:pPr>
        <w:autoSpaceDE w:val="0"/>
        <w:autoSpaceDN w:val="0"/>
        <w:adjustRightInd w:val="0"/>
        <w:rPr>
          <w:rFonts w:eastAsiaTheme="minorHAnsi" w:cs="Arial"/>
          <w:sz w:val="20"/>
        </w:rPr>
      </w:pPr>
    </w:p>
    <w:p w14:paraId="3CEBC614" w14:textId="26398CA3" w:rsidR="007A4614" w:rsidRPr="00132B16" w:rsidRDefault="007A4614" w:rsidP="00B23806">
      <w:pPr>
        <w:autoSpaceDE w:val="0"/>
        <w:autoSpaceDN w:val="0"/>
        <w:adjustRightInd w:val="0"/>
        <w:rPr>
          <w:rFonts w:eastAsiaTheme="minorHAnsi" w:cs="Arial"/>
          <w:b/>
          <w:bCs/>
          <w:sz w:val="20"/>
        </w:rPr>
      </w:pPr>
      <w:r w:rsidRPr="00132B16">
        <w:rPr>
          <w:rFonts w:eastAsiaTheme="minorHAnsi" w:cs="Arial"/>
          <w:b/>
          <w:bCs/>
          <w:sz w:val="20"/>
        </w:rPr>
        <w:t xml:space="preserve">Our </w:t>
      </w:r>
      <w:r w:rsidR="00EE147D" w:rsidRPr="00132B16">
        <w:rPr>
          <w:rFonts w:eastAsiaTheme="minorHAnsi" w:cs="Arial"/>
          <w:b/>
          <w:bCs/>
          <w:sz w:val="20"/>
        </w:rPr>
        <w:t>principles</w:t>
      </w:r>
    </w:p>
    <w:p w14:paraId="25E55CF6" w14:textId="5A45E875" w:rsidR="007A4614" w:rsidRPr="00132B16" w:rsidRDefault="007A4614" w:rsidP="007A4614">
      <w:pPr>
        <w:autoSpaceDE w:val="0"/>
        <w:autoSpaceDN w:val="0"/>
        <w:adjustRightInd w:val="0"/>
        <w:rPr>
          <w:rFonts w:eastAsiaTheme="minorHAnsi" w:cs="Arial"/>
          <w:sz w:val="20"/>
        </w:rPr>
      </w:pPr>
      <w:r w:rsidRPr="00132B16">
        <w:rPr>
          <w:rFonts w:eastAsiaTheme="minorHAnsi" w:cs="Arial"/>
          <w:sz w:val="20"/>
        </w:rPr>
        <w:t>The Group operates to the highest ethical standards of financial integrity and transparency and has zero tolerance for any activity relating to the criminal offence of tax evasion. We expect all our employees and associated persons to adhere to the same high standards</w:t>
      </w:r>
      <w:r w:rsidR="00AE7AE7" w:rsidRPr="00132B16">
        <w:rPr>
          <w:rFonts w:eastAsiaTheme="minorHAnsi" w:cs="Arial"/>
          <w:sz w:val="20"/>
        </w:rPr>
        <w:t xml:space="preserve">, </w:t>
      </w:r>
      <w:r w:rsidR="0089199B" w:rsidRPr="00132B16">
        <w:rPr>
          <w:rFonts w:eastAsiaTheme="minorHAnsi" w:cs="Arial"/>
          <w:sz w:val="20"/>
        </w:rPr>
        <w:t>always aligned to</w:t>
      </w:r>
      <w:r w:rsidR="00AE7AE7" w:rsidRPr="00132B16">
        <w:rPr>
          <w:rFonts w:eastAsiaTheme="minorHAnsi" w:cs="Arial"/>
          <w:sz w:val="20"/>
        </w:rPr>
        <w:t xml:space="preserve"> Our Purpose and </w:t>
      </w:r>
      <w:r w:rsidR="001317B4" w:rsidRPr="00132B16">
        <w:rPr>
          <w:rFonts w:eastAsiaTheme="minorHAnsi" w:cs="Arial"/>
          <w:sz w:val="20"/>
        </w:rPr>
        <w:t>V</w:t>
      </w:r>
      <w:r w:rsidR="00AE7AE7" w:rsidRPr="00132B16">
        <w:rPr>
          <w:rFonts w:eastAsiaTheme="minorHAnsi" w:cs="Arial"/>
          <w:sz w:val="20"/>
        </w:rPr>
        <w:t>alues</w:t>
      </w:r>
      <w:r w:rsidRPr="00132B16">
        <w:rPr>
          <w:rFonts w:eastAsiaTheme="minorHAnsi" w:cs="Arial"/>
          <w:sz w:val="20"/>
        </w:rPr>
        <w:t xml:space="preserve">. </w:t>
      </w:r>
    </w:p>
    <w:p w14:paraId="771EE698" w14:textId="3D5302CC" w:rsidR="007C7166" w:rsidRPr="00132B16" w:rsidRDefault="007C7166" w:rsidP="007A4614">
      <w:pPr>
        <w:autoSpaceDE w:val="0"/>
        <w:autoSpaceDN w:val="0"/>
        <w:adjustRightInd w:val="0"/>
        <w:rPr>
          <w:rFonts w:eastAsiaTheme="minorHAnsi" w:cs="Arial"/>
          <w:sz w:val="20"/>
        </w:rPr>
      </w:pPr>
    </w:p>
    <w:p w14:paraId="349F3276" w14:textId="78BBD7EC" w:rsidR="007C7166" w:rsidRPr="00132B16" w:rsidRDefault="007C7166" w:rsidP="007A4614">
      <w:pPr>
        <w:autoSpaceDE w:val="0"/>
        <w:autoSpaceDN w:val="0"/>
        <w:adjustRightInd w:val="0"/>
        <w:rPr>
          <w:rFonts w:eastAsiaTheme="minorHAnsi" w:cs="Arial"/>
          <w:sz w:val="20"/>
        </w:rPr>
      </w:pPr>
      <w:r w:rsidRPr="00132B16">
        <w:rPr>
          <w:rFonts w:eastAsiaTheme="minorHAnsi" w:cs="Arial"/>
          <w:sz w:val="20"/>
        </w:rPr>
        <w:t>At all times, our business will be conducted in a manner such that the opportunity for, and the incidence of, tax evasion is prevented. Employees and associated persons must not undertake any actions which either cause the Group to commit a tax evasion offence or facilitate a third party committing a tax evasion offence.</w:t>
      </w:r>
    </w:p>
    <w:p w14:paraId="6B2C1C76" w14:textId="77777777" w:rsidR="007A4614" w:rsidRPr="00132B16" w:rsidRDefault="007A4614" w:rsidP="007A4614">
      <w:pPr>
        <w:autoSpaceDE w:val="0"/>
        <w:autoSpaceDN w:val="0"/>
        <w:adjustRightInd w:val="0"/>
        <w:rPr>
          <w:rFonts w:eastAsiaTheme="minorHAnsi" w:cs="Arial"/>
          <w:sz w:val="20"/>
        </w:rPr>
      </w:pPr>
      <w:r w:rsidRPr="00132B16">
        <w:rPr>
          <w:rFonts w:eastAsiaTheme="minorHAnsi" w:cs="Arial"/>
          <w:sz w:val="20"/>
        </w:rPr>
        <w:t> </w:t>
      </w:r>
    </w:p>
    <w:p w14:paraId="354A6BA4" w14:textId="77777777" w:rsidR="00B750FF" w:rsidRPr="00132B16" w:rsidRDefault="00B750FF" w:rsidP="00B23806">
      <w:pPr>
        <w:autoSpaceDE w:val="0"/>
        <w:autoSpaceDN w:val="0"/>
        <w:adjustRightInd w:val="0"/>
        <w:rPr>
          <w:rFonts w:eastAsiaTheme="minorHAnsi" w:cs="Arial"/>
          <w:b/>
          <w:bCs/>
          <w:sz w:val="20"/>
        </w:rPr>
      </w:pPr>
      <w:r w:rsidRPr="00132B16">
        <w:rPr>
          <w:rFonts w:eastAsiaTheme="minorHAnsi" w:cs="Arial"/>
          <w:b/>
          <w:bCs/>
          <w:sz w:val="20"/>
        </w:rPr>
        <w:t>Risk Assessment</w:t>
      </w:r>
    </w:p>
    <w:p w14:paraId="09D33771" w14:textId="05F19C5E" w:rsidR="007C7166" w:rsidRPr="00132B16" w:rsidRDefault="00B750FF" w:rsidP="00B23806">
      <w:pPr>
        <w:autoSpaceDE w:val="0"/>
        <w:autoSpaceDN w:val="0"/>
        <w:adjustRightInd w:val="0"/>
        <w:rPr>
          <w:rFonts w:eastAsiaTheme="minorHAnsi" w:cs="Arial"/>
          <w:sz w:val="20"/>
        </w:rPr>
      </w:pPr>
      <w:r w:rsidRPr="00132B16">
        <w:rPr>
          <w:rFonts w:eastAsiaTheme="minorHAnsi" w:cs="Arial"/>
          <w:sz w:val="20"/>
        </w:rPr>
        <w:t xml:space="preserve">Due to the nature of what we do, </w:t>
      </w:r>
      <w:r w:rsidR="004F55F5" w:rsidRPr="00132B16">
        <w:rPr>
          <w:rFonts w:eastAsiaTheme="minorHAnsi" w:cs="Arial"/>
          <w:sz w:val="20"/>
        </w:rPr>
        <w:t xml:space="preserve">and how we operate, </w:t>
      </w:r>
      <w:r w:rsidRPr="00132B16">
        <w:rPr>
          <w:rFonts w:eastAsiaTheme="minorHAnsi" w:cs="Arial"/>
          <w:sz w:val="20"/>
        </w:rPr>
        <w:t xml:space="preserve">these </w:t>
      </w:r>
      <w:r w:rsidR="004D5DF9" w:rsidRPr="00132B16">
        <w:rPr>
          <w:rFonts w:eastAsiaTheme="minorHAnsi" w:cs="Arial"/>
          <w:sz w:val="20"/>
        </w:rPr>
        <w:t xml:space="preserve">Corporate Criminal Offence </w:t>
      </w:r>
      <w:r w:rsidRPr="00132B16">
        <w:rPr>
          <w:rFonts w:eastAsiaTheme="minorHAnsi" w:cs="Arial"/>
          <w:sz w:val="20"/>
        </w:rPr>
        <w:t xml:space="preserve">(CCO) risks </w:t>
      </w:r>
      <w:proofErr w:type="gramStart"/>
      <w:r w:rsidRPr="00132B16">
        <w:rPr>
          <w:rFonts w:eastAsiaTheme="minorHAnsi" w:cs="Arial"/>
          <w:sz w:val="20"/>
        </w:rPr>
        <w:t>are considered to be</w:t>
      </w:r>
      <w:proofErr w:type="gramEnd"/>
      <w:r w:rsidRPr="00132B16">
        <w:rPr>
          <w:rFonts w:eastAsiaTheme="minorHAnsi" w:cs="Arial"/>
          <w:sz w:val="20"/>
        </w:rPr>
        <w:t xml:space="preserve"> low</w:t>
      </w:r>
      <w:r w:rsidR="00DB11B2" w:rsidRPr="00132B16">
        <w:rPr>
          <w:rFonts w:eastAsiaTheme="minorHAnsi" w:cs="Arial"/>
          <w:sz w:val="20"/>
        </w:rPr>
        <w:t xml:space="preserve"> </w:t>
      </w:r>
      <w:r w:rsidR="00F42693" w:rsidRPr="00132B16">
        <w:rPr>
          <w:rFonts w:eastAsiaTheme="minorHAnsi" w:cs="Arial"/>
          <w:sz w:val="20"/>
        </w:rPr>
        <w:t xml:space="preserve">for </w:t>
      </w:r>
      <w:r w:rsidR="00DB11B2" w:rsidRPr="00132B16">
        <w:rPr>
          <w:rFonts w:eastAsiaTheme="minorHAnsi" w:cs="Arial"/>
          <w:sz w:val="20"/>
        </w:rPr>
        <w:t>the Group</w:t>
      </w:r>
      <w:r w:rsidRPr="00132B16">
        <w:rPr>
          <w:rFonts w:eastAsiaTheme="minorHAnsi" w:cs="Arial"/>
          <w:sz w:val="20"/>
        </w:rPr>
        <w:t>. Notwithstanding that, the Group has a risk management framework in place which provides a structure to identify and mitigat</w:t>
      </w:r>
      <w:r w:rsidR="002C0FA1" w:rsidRPr="00132B16">
        <w:rPr>
          <w:rFonts w:eastAsiaTheme="minorHAnsi" w:cs="Arial"/>
          <w:sz w:val="20"/>
        </w:rPr>
        <w:t xml:space="preserve">e </w:t>
      </w:r>
      <w:r w:rsidRPr="00132B16">
        <w:rPr>
          <w:rFonts w:eastAsiaTheme="minorHAnsi" w:cs="Arial"/>
          <w:sz w:val="20"/>
        </w:rPr>
        <w:t xml:space="preserve">these risks. This is supported by </w:t>
      </w:r>
      <w:r w:rsidR="00C15171" w:rsidRPr="00132B16">
        <w:rPr>
          <w:rFonts w:eastAsiaTheme="minorHAnsi" w:cs="Arial"/>
          <w:sz w:val="20"/>
        </w:rPr>
        <w:t xml:space="preserve">a </w:t>
      </w:r>
      <w:r w:rsidRPr="00132B16">
        <w:rPr>
          <w:rFonts w:eastAsiaTheme="minorHAnsi" w:cs="Arial"/>
          <w:sz w:val="20"/>
        </w:rPr>
        <w:t xml:space="preserve">strong internal control </w:t>
      </w:r>
      <w:r w:rsidR="00C15171" w:rsidRPr="00132B16">
        <w:rPr>
          <w:rFonts w:eastAsiaTheme="minorHAnsi" w:cs="Arial"/>
          <w:sz w:val="20"/>
        </w:rPr>
        <w:t xml:space="preserve">framework </w:t>
      </w:r>
      <w:r w:rsidRPr="00132B16">
        <w:rPr>
          <w:rFonts w:eastAsiaTheme="minorHAnsi" w:cs="Arial"/>
          <w:sz w:val="20"/>
        </w:rPr>
        <w:t>and an internal audit programme which considers all our compliance obligations, including those relating to the Act</w:t>
      </w:r>
      <w:r w:rsidR="00D303E0" w:rsidRPr="00132B16">
        <w:rPr>
          <w:rFonts w:eastAsiaTheme="minorHAnsi" w:cs="Arial"/>
          <w:sz w:val="20"/>
        </w:rPr>
        <w:t xml:space="preserve">. </w:t>
      </w:r>
    </w:p>
    <w:p w14:paraId="0995FEE7" w14:textId="77777777" w:rsidR="007C7166" w:rsidRPr="00132B16" w:rsidRDefault="007C7166" w:rsidP="00B23806">
      <w:pPr>
        <w:autoSpaceDE w:val="0"/>
        <w:autoSpaceDN w:val="0"/>
        <w:adjustRightInd w:val="0"/>
        <w:rPr>
          <w:rFonts w:eastAsiaTheme="minorHAnsi" w:cs="Arial"/>
          <w:sz w:val="20"/>
        </w:rPr>
      </w:pPr>
    </w:p>
    <w:p w14:paraId="5FA0C877" w14:textId="02A83695" w:rsidR="00CA61D6" w:rsidRPr="00132B16" w:rsidRDefault="00D303E0" w:rsidP="00B23806">
      <w:pPr>
        <w:autoSpaceDE w:val="0"/>
        <w:autoSpaceDN w:val="0"/>
        <w:adjustRightInd w:val="0"/>
        <w:rPr>
          <w:rFonts w:eastAsiaTheme="minorHAnsi" w:cs="Arial"/>
          <w:sz w:val="20"/>
        </w:rPr>
      </w:pPr>
      <w:r w:rsidRPr="00132B16">
        <w:rPr>
          <w:rFonts w:eastAsiaTheme="minorHAnsi" w:cs="Arial"/>
          <w:sz w:val="20"/>
        </w:rPr>
        <w:t>T</w:t>
      </w:r>
      <w:r w:rsidR="00330AFB" w:rsidRPr="00132B16">
        <w:rPr>
          <w:rFonts w:eastAsiaTheme="minorHAnsi" w:cs="Arial"/>
          <w:sz w:val="20"/>
        </w:rPr>
        <w:t xml:space="preserve">his assessment </w:t>
      </w:r>
      <w:r w:rsidR="002C0FA1" w:rsidRPr="00132B16">
        <w:rPr>
          <w:rFonts w:eastAsiaTheme="minorHAnsi" w:cs="Arial"/>
          <w:sz w:val="20"/>
        </w:rPr>
        <w:t>is</w:t>
      </w:r>
      <w:r w:rsidR="00330AFB" w:rsidRPr="00132B16">
        <w:rPr>
          <w:rFonts w:eastAsiaTheme="minorHAnsi" w:cs="Arial"/>
          <w:sz w:val="20"/>
        </w:rPr>
        <w:t xml:space="preserve"> regularly revisited, </w:t>
      </w:r>
      <w:r w:rsidR="0058061E" w:rsidRPr="00132B16">
        <w:rPr>
          <w:rFonts w:eastAsiaTheme="minorHAnsi" w:cs="Arial"/>
          <w:sz w:val="20"/>
        </w:rPr>
        <w:t>with an oversight from</w:t>
      </w:r>
      <w:r w:rsidR="00240B07" w:rsidRPr="00132B16">
        <w:rPr>
          <w:rFonts w:eastAsiaTheme="minorHAnsi" w:cs="Arial"/>
          <w:sz w:val="20"/>
        </w:rPr>
        <w:t xml:space="preserve"> </w:t>
      </w:r>
      <w:r w:rsidR="0058061E" w:rsidRPr="00132B16">
        <w:rPr>
          <w:rFonts w:eastAsiaTheme="minorHAnsi" w:cs="Arial"/>
          <w:sz w:val="20"/>
        </w:rPr>
        <w:t xml:space="preserve">Group’s </w:t>
      </w:r>
      <w:r w:rsidR="00670C53" w:rsidRPr="00132B16">
        <w:rPr>
          <w:rFonts w:eastAsiaTheme="minorHAnsi" w:cs="Arial"/>
          <w:sz w:val="20"/>
        </w:rPr>
        <w:t>Sustaina</w:t>
      </w:r>
      <w:r w:rsidR="00C905CC" w:rsidRPr="00132B16">
        <w:rPr>
          <w:rFonts w:eastAsiaTheme="minorHAnsi" w:cs="Arial"/>
          <w:sz w:val="20"/>
        </w:rPr>
        <w:t>bility</w:t>
      </w:r>
      <w:r w:rsidR="00670C53" w:rsidRPr="00132B16">
        <w:rPr>
          <w:rFonts w:eastAsiaTheme="minorHAnsi" w:cs="Arial"/>
          <w:sz w:val="20"/>
        </w:rPr>
        <w:t xml:space="preserve"> </w:t>
      </w:r>
      <w:r w:rsidR="0058061E" w:rsidRPr="00132B16">
        <w:rPr>
          <w:rFonts w:eastAsiaTheme="minorHAnsi" w:cs="Arial"/>
          <w:sz w:val="20"/>
        </w:rPr>
        <w:t xml:space="preserve">Committee, </w:t>
      </w:r>
      <w:proofErr w:type="gramStart"/>
      <w:r w:rsidR="00330AFB" w:rsidRPr="00132B16">
        <w:rPr>
          <w:rFonts w:eastAsiaTheme="minorHAnsi" w:cs="Arial"/>
          <w:sz w:val="20"/>
        </w:rPr>
        <w:t>in order to</w:t>
      </w:r>
      <w:proofErr w:type="gramEnd"/>
      <w:r w:rsidR="00330AFB" w:rsidRPr="00132B16">
        <w:rPr>
          <w:rFonts w:eastAsiaTheme="minorHAnsi" w:cs="Arial"/>
          <w:sz w:val="20"/>
        </w:rPr>
        <w:t xml:space="preserve"> ensure that </w:t>
      </w:r>
      <w:r w:rsidR="00D8241B" w:rsidRPr="00132B16">
        <w:rPr>
          <w:rFonts w:eastAsiaTheme="minorHAnsi" w:cs="Arial"/>
          <w:sz w:val="20"/>
        </w:rPr>
        <w:t xml:space="preserve">the </w:t>
      </w:r>
      <w:r w:rsidR="00330AFB" w:rsidRPr="00132B16">
        <w:rPr>
          <w:rFonts w:eastAsiaTheme="minorHAnsi" w:cs="Arial"/>
          <w:sz w:val="20"/>
        </w:rPr>
        <w:t xml:space="preserve">controls </w:t>
      </w:r>
      <w:r w:rsidR="00E909AC" w:rsidRPr="00132B16">
        <w:rPr>
          <w:rFonts w:eastAsiaTheme="minorHAnsi" w:cs="Arial"/>
          <w:sz w:val="20"/>
        </w:rPr>
        <w:t xml:space="preserve">and monitoring </w:t>
      </w:r>
      <w:r w:rsidR="00330AFB" w:rsidRPr="00132B16">
        <w:rPr>
          <w:rFonts w:eastAsiaTheme="minorHAnsi" w:cs="Arial"/>
          <w:sz w:val="20"/>
        </w:rPr>
        <w:t>remain appropriate to the level of ris</w:t>
      </w:r>
      <w:r w:rsidR="00DB7833" w:rsidRPr="00132B16">
        <w:rPr>
          <w:rFonts w:eastAsiaTheme="minorHAnsi" w:cs="Arial"/>
          <w:sz w:val="20"/>
        </w:rPr>
        <w:t>k.</w:t>
      </w:r>
    </w:p>
    <w:p w14:paraId="0B85D1E1" w14:textId="77777777" w:rsidR="00B750FF" w:rsidRPr="00132B16" w:rsidRDefault="00B750FF" w:rsidP="00B23806">
      <w:pPr>
        <w:autoSpaceDE w:val="0"/>
        <w:autoSpaceDN w:val="0"/>
        <w:adjustRightInd w:val="0"/>
        <w:rPr>
          <w:rFonts w:eastAsiaTheme="minorHAnsi" w:cs="Arial"/>
          <w:b/>
          <w:bCs/>
          <w:sz w:val="20"/>
        </w:rPr>
      </w:pPr>
    </w:p>
    <w:p w14:paraId="75598713" w14:textId="5747E5EB" w:rsidR="00B23806" w:rsidRPr="00132B16" w:rsidRDefault="00B750FF" w:rsidP="00B23806">
      <w:pPr>
        <w:autoSpaceDE w:val="0"/>
        <w:autoSpaceDN w:val="0"/>
        <w:adjustRightInd w:val="0"/>
        <w:rPr>
          <w:rFonts w:eastAsiaTheme="minorHAnsi" w:cs="Arial"/>
          <w:sz w:val="20"/>
        </w:rPr>
      </w:pPr>
      <w:r w:rsidRPr="00132B16">
        <w:rPr>
          <w:rFonts w:eastAsiaTheme="minorHAnsi" w:cs="Arial"/>
          <w:b/>
          <w:bCs/>
          <w:sz w:val="20"/>
        </w:rPr>
        <w:t>Training and Awareness</w:t>
      </w:r>
    </w:p>
    <w:p w14:paraId="3E11FC77" w14:textId="1A2D6EC5" w:rsidR="00B705D9" w:rsidRPr="00132B16" w:rsidRDefault="00B705D9" w:rsidP="00B705D9">
      <w:pPr>
        <w:autoSpaceDE w:val="0"/>
        <w:autoSpaceDN w:val="0"/>
        <w:adjustRightInd w:val="0"/>
        <w:rPr>
          <w:rFonts w:eastAsiaTheme="minorHAnsi" w:cs="Arial"/>
          <w:sz w:val="20"/>
        </w:rPr>
      </w:pPr>
      <w:r w:rsidRPr="00132B16">
        <w:rPr>
          <w:rFonts w:eastAsiaTheme="minorHAnsi" w:cs="Arial"/>
          <w:sz w:val="20"/>
        </w:rPr>
        <w:t>We are committed to ensure that the prevention policies and procedures are communicated, understood and embedded throughout the organisation, through internal and external communication</w:t>
      </w:r>
      <w:r w:rsidR="000B6723" w:rsidRPr="00132B16">
        <w:rPr>
          <w:rFonts w:eastAsiaTheme="minorHAnsi" w:cs="Arial"/>
          <w:sz w:val="20"/>
        </w:rPr>
        <w:t xml:space="preserve">, </w:t>
      </w:r>
      <w:r w:rsidR="009A5FEA" w:rsidRPr="00132B16">
        <w:rPr>
          <w:rFonts w:eastAsiaTheme="minorHAnsi" w:cs="Arial"/>
          <w:sz w:val="20"/>
        </w:rPr>
        <w:t>including but not limited to the Supplier Code of Conduct</w:t>
      </w:r>
      <w:r w:rsidR="00B953D1" w:rsidRPr="00132B16">
        <w:rPr>
          <w:rFonts w:eastAsiaTheme="minorHAnsi" w:cs="Arial"/>
          <w:sz w:val="20"/>
        </w:rPr>
        <w:t>, and Contractor</w:t>
      </w:r>
      <w:r w:rsidR="00171741" w:rsidRPr="00132B16">
        <w:rPr>
          <w:rFonts w:eastAsiaTheme="minorHAnsi" w:cs="Arial"/>
          <w:sz w:val="20"/>
        </w:rPr>
        <w:t xml:space="preserve"> and Consultant </w:t>
      </w:r>
      <w:r w:rsidR="002526E8" w:rsidRPr="00132B16">
        <w:rPr>
          <w:rFonts w:eastAsiaTheme="minorHAnsi" w:cs="Arial"/>
          <w:sz w:val="20"/>
        </w:rPr>
        <w:t>agreements</w:t>
      </w:r>
      <w:r w:rsidRPr="00132B16">
        <w:rPr>
          <w:rFonts w:eastAsiaTheme="minorHAnsi" w:cs="Arial"/>
          <w:sz w:val="20"/>
        </w:rPr>
        <w:t xml:space="preserve">. Relevant employees are required to complete </w:t>
      </w:r>
      <w:r w:rsidR="007078EF" w:rsidRPr="00132B16">
        <w:rPr>
          <w:rFonts w:eastAsiaTheme="minorHAnsi" w:cs="Arial"/>
          <w:sz w:val="20"/>
        </w:rPr>
        <w:t xml:space="preserve">the </w:t>
      </w:r>
      <w:r w:rsidR="004D5DF9" w:rsidRPr="00132B16">
        <w:rPr>
          <w:rFonts w:eastAsiaTheme="minorHAnsi" w:cs="Arial"/>
          <w:sz w:val="20"/>
        </w:rPr>
        <w:t xml:space="preserve">CCO </w:t>
      </w:r>
      <w:r w:rsidR="001F098F" w:rsidRPr="00132B16">
        <w:rPr>
          <w:rFonts w:eastAsiaTheme="minorHAnsi" w:cs="Arial"/>
          <w:sz w:val="20"/>
        </w:rPr>
        <w:t xml:space="preserve">awareness </w:t>
      </w:r>
      <w:r w:rsidRPr="00132B16">
        <w:rPr>
          <w:rFonts w:eastAsiaTheme="minorHAnsi" w:cs="Arial"/>
          <w:sz w:val="20"/>
        </w:rPr>
        <w:t xml:space="preserve">training and are supported with a refresher course at appropriate intervals. Further tailored training </w:t>
      </w:r>
      <w:r w:rsidR="002C0FA1" w:rsidRPr="00132B16">
        <w:rPr>
          <w:rFonts w:eastAsiaTheme="minorHAnsi" w:cs="Arial"/>
          <w:sz w:val="20"/>
        </w:rPr>
        <w:t>is</w:t>
      </w:r>
      <w:r w:rsidRPr="00132B16">
        <w:rPr>
          <w:rFonts w:eastAsiaTheme="minorHAnsi" w:cs="Arial"/>
          <w:sz w:val="20"/>
        </w:rPr>
        <w:t xml:space="preserve"> provided depending on an employee's position within the Group, and their role and responsibilities.</w:t>
      </w:r>
    </w:p>
    <w:p w14:paraId="530F4988" w14:textId="77777777" w:rsidR="00B705D9" w:rsidRPr="00132B16" w:rsidRDefault="00B705D9" w:rsidP="00B705D9">
      <w:pPr>
        <w:autoSpaceDE w:val="0"/>
        <w:autoSpaceDN w:val="0"/>
        <w:adjustRightInd w:val="0"/>
        <w:rPr>
          <w:rFonts w:eastAsiaTheme="minorHAnsi" w:cs="Arial"/>
          <w:sz w:val="20"/>
        </w:rPr>
      </w:pPr>
      <w:r w:rsidRPr="00132B16">
        <w:rPr>
          <w:rFonts w:eastAsiaTheme="minorHAnsi" w:cs="Arial"/>
          <w:sz w:val="20"/>
        </w:rPr>
        <w:t> </w:t>
      </w:r>
    </w:p>
    <w:p w14:paraId="3452B41C" w14:textId="2A795065" w:rsidR="002A72FB" w:rsidRPr="00132B16" w:rsidRDefault="00B705D9" w:rsidP="00B705D9">
      <w:pPr>
        <w:autoSpaceDE w:val="0"/>
        <w:autoSpaceDN w:val="0"/>
        <w:adjustRightInd w:val="0"/>
        <w:rPr>
          <w:rFonts w:eastAsiaTheme="minorHAnsi" w:cs="Arial"/>
          <w:sz w:val="20"/>
        </w:rPr>
      </w:pPr>
      <w:r w:rsidRPr="00132B16">
        <w:rPr>
          <w:rFonts w:eastAsiaTheme="minorHAnsi" w:cs="Arial"/>
          <w:sz w:val="20"/>
        </w:rPr>
        <w:t xml:space="preserve">The Group has </w:t>
      </w:r>
      <w:r w:rsidR="009D7A05" w:rsidRPr="00132B16">
        <w:rPr>
          <w:rFonts w:eastAsiaTheme="minorHAnsi" w:cs="Arial"/>
          <w:sz w:val="20"/>
        </w:rPr>
        <w:t xml:space="preserve">a </w:t>
      </w:r>
      <w:r w:rsidR="00D67400" w:rsidRPr="00132B16">
        <w:rPr>
          <w:rFonts w:eastAsiaTheme="minorHAnsi" w:cs="Arial"/>
          <w:sz w:val="20"/>
        </w:rPr>
        <w:t xml:space="preserve">well-established </w:t>
      </w:r>
      <w:r w:rsidR="009D7A05" w:rsidRPr="00132B16">
        <w:rPr>
          <w:rFonts w:eastAsiaTheme="minorHAnsi" w:cs="Arial"/>
          <w:sz w:val="20"/>
        </w:rPr>
        <w:t xml:space="preserve">whistleblowing policy, including the Croda Speak Up reporting line </w:t>
      </w:r>
      <w:r w:rsidRPr="00132B16">
        <w:rPr>
          <w:rFonts w:eastAsiaTheme="minorHAnsi" w:cs="Arial"/>
          <w:sz w:val="20"/>
        </w:rPr>
        <w:t xml:space="preserve">to enable any employee or associated person that wishes to report a suspected wrongdoing </w:t>
      </w:r>
      <w:proofErr w:type="gramStart"/>
      <w:r w:rsidR="00384F61" w:rsidRPr="00132B16">
        <w:rPr>
          <w:rFonts w:eastAsiaTheme="minorHAnsi" w:cs="Arial"/>
          <w:sz w:val="20"/>
        </w:rPr>
        <w:t xml:space="preserve">is able </w:t>
      </w:r>
      <w:r w:rsidRPr="00132B16">
        <w:rPr>
          <w:rFonts w:eastAsiaTheme="minorHAnsi" w:cs="Arial"/>
          <w:sz w:val="20"/>
        </w:rPr>
        <w:t>to</w:t>
      </w:r>
      <w:proofErr w:type="gramEnd"/>
      <w:r w:rsidRPr="00132B16">
        <w:rPr>
          <w:rFonts w:eastAsiaTheme="minorHAnsi" w:cs="Arial"/>
          <w:sz w:val="20"/>
        </w:rPr>
        <w:t xml:space="preserve"> do so in confidence, without fear of repercussion</w:t>
      </w:r>
      <w:r w:rsidR="00A12A3A" w:rsidRPr="00132B16">
        <w:rPr>
          <w:rFonts w:eastAsiaTheme="minorHAnsi" w:cs="Arial"/>
          <w:sz w:val="20"/>
        </w:rPr>
        <w:t>s</w:t>
      </w:r>
      <w:r w:rsidRPr="00132B16">
        <w:rPr>
          <w:rFonts w:eastAsiaTheme="minorHAnsi" w:cs="Arial"/>
          <w:sz w:val="20"/>
        </w:rPr>
        <w:t xml:space="preserve">. Any disclosure </w:t>
      </w:r>
      <w:r w:rsidR="002C0FA1" w:rsidRPr="00132B16">
        <w:rPr>
          <w:rFonts w:eastAsiaTheme="minorHAnsi" w:cs="Arial"/>
          <w:sz w:val="20"/>
        </w:rPr>
        <w:t>is</w:t>
      </w:r>
      <w:r w:rsidRPr="00132B16">
        <w:rPr>
          <w:rFonts w:eastAsiaTheme="minorHAnsi" w:cs="Arial"/>
          <w:sz w:val="20"/>
        </w:rPr>
        <w:t xml:space="preserve"> investigated appropriately.</w:t>
      </w:r>
    </w:p>
    <w:p w14:paraId="299EE417" w14:textId="77777777" w:rsidR="00B705D9" w:rsidRPr="00132B16" w:rsidRDefault="00B705D9" w:rsidP="00B705D9">
      <w:pPr>
        <w:autoSpaceDE w:val="0"/>
        <w:autoSpaceDN w:val="0"/>
        <w:adjustRightInd w:val="0"/>
        <w:rPr>
          <w:rFonts w:eastAsiaTheme="minorHAnsi" w:cs="Arial"/>
          <w:b/>
          <w:bCs/>
          <w:sz w:val="20"/>
        </w:rPr>
      </w:pPr>
    </w:p>
    <w:p w14:paraId="0DB63040" w14:textId="77777777" w:rsidR="00B705D9" w:rsidRPr="00132B16" w:rsidRDefault="00B705D9" w:rsidP="00B23806">
      <w:pPr>
        <w:autoSpaceDE w:val="0"/>
        <w:autoSpaceDN w:val="0"/>
        <w:adjustRightInd w:val="0"/>
        <w:rPr>
          <w:rFonts w:eastAsiaTheme="minorHAnsi" w:cs="Arial"/>
          <w:b/>
          <w:bCs/>
          <w:sz w:val="20"/>
        </w:rPr>
      </w:pPr>
      <w:r w:rsidRPr="00132B16">
        <w:rPr>
          <w:rFonts w:eastAsiaTheme="minorHAnsi" w:cs="Arial"/>
          <w:b/>
          <w:bCs/>
          <w:sz w:val="20"/>
        </w:rPr>
        <w:t>Declaration</w:t>
      </w:r>
    </w:p>
    <w:p w14:paraId="5434305F" w14:textId="5BCBF3C8" w:rsidR="00CA61D6" w:rsidRPr="00132B16" w:rsidRDefault="00B705D9" w:rsidP="00B23806">
      <w:pPr>
        <w:autoSpaceDE w:val="0"/>
        <w:autoSpaceDN w:val="0"/>
        <w:adjustRightInd w:val="0"/>
        <w:rPr>
          <w:rFonts w:eastAsiaTheme="minorHAnsi" w:cs="Arial"/>
          <w:sz w:val="20"/>
        </w:rPr>
      </w:pPr>
      <w:r w:rsidRPr="00132B16">
        <w:rPr>
          <w:rFonts w:eastAsiaTheme="minorHAnsi" w:cs="Arial"/>
          <w:sz w:val="20"/>
        </w:rPr>
        <w:t xml:space="preserve">The </w:t>
      </w:r>
      <w:r w:rsidR="00260E40" w:rsidRPr="00132B16">
        <w:rPr>
          <w:rFonts w:eastAsiaTheme="minorHAnsi" w:cs="Arial"/>
          <w:sz w:val="20"/>
        </w:rPr>
        <w:t xml:space="preserve">Board and the </w:t>
      </w:r>
      <w:r w:rsidRPr="00132B16">
        <w:rPr>
          <w:rFonts w:eastAsiaTheme="minorHAnsi" w:cs="Arial"/>
          <w:sz w:val="20"/>
        </w:rPr>
        <w:t xml:space="preserve">Group </w:t>
      </w:r>
      <w:r w:rsidR="00260E40" w:rsidRPr="00132B16">
        <w:rPr>
          <w:rFonts w:eastAsiaTheme="minorHAnsi" w:cs="Arial"/>
          <w:sz w:val="20"/>
        </w:rPr>
        <w:t>are</w:t>
      </w:r>
      <w:r w:rsidRPr="00132B16">
        <w:rPr>
          <w:rFonts w:eastAsiaTheme="minorHAnsi" w:cs="Arial"/>
          <w:sz w:val="20"/>
        </w:rPr>
        <w:t xml:space="preserve"> committed to acting professionally, fairly and with integrity in all business dealings and relationships. We will implement and enforce effective policies and procedures to counter the facilitation of any tax </w:t>
      </w:r>
      <w:r w:rsidR="00D81B42" w:rsidRPr="00132B16">
        <w:rPr>
          <w:rFonts w:eastAsiaTheme="minorHAnsi" w:cs="Arial"/>
          <w:sz w:val="20"/>
        </w:rPr>
        <w:t xml:space="preserve">evasion </w:t>
      </w:r>
      <w:r w:rsidRPr="00132B16">
        <w:rPr>
          <w:rFonts w:eastAsiaTheme="minorHAnsi" w:cs="Arial"/>
          <w:sz w:val="20"/>
        </w:rPr>
        <w:t>activities</w:t>
      </w:r>
      <w:r w:rsidR="00704E14" w:rsidRPr="00132B16">
        <w:rPr>
          <w:rFonts w:eastAsiaTheme="minorHAnsi" w:cs="Arial"/>
          <w:sz w:val="20"/>
        </w:rPr>
        <w:t xml:space="preserve">, and </w:t>
      </w:r>
      <w:r w:rsidR="00FE7A88" w:rsidRPr="00132B16">
        <w:rPr>
          <w:rFonts w:eastAsiaTheme="minorHAnsi" w:cs="Arial"/>
          <w:sz w:val="20"/>
        </w:rPr>
        <w:t xml:space="preserve">we will continually monitor </w:t>
      </w:r>
      <w:r w:rsidR="003314A5" w:rsidRPr="00132B16">
        <w:rPr>
          <w:rFonts w:eastAsiaTheme="minorHAnsi" w:cs="Arial"/>
          <w:sz w:val="20"/>
        </w:rPr>
        <w:t xml:space="preserve">and assess </w:t>
      </w:r>
      <w:r w:rsidR="00F23EA6" w:rsidRPr="00132B16">
        <w:rPr>
          <w:rFonts w:eastAsiaTheme="minorHAnsi" w:cs="Arial"/>
          <w:sz w:val="20"/>
        </w:rPr>
        <w:t>the appropriateness of these policies and procedures</w:t>
      </w:r>
      <w:r w:rsidRPr="00132B16">
        <w:rPr>
          <w:rFonts w:eastAsiaTheme="minorHAnsi" w:cs="Arial"/>
          <w:sz w:val="20"/>
        </w:rPr>
        <w:t>.</w:t>
      </w:r>
    </w:p>
    <w:p w14:paraId="2B1F1DDB" w14:textId="78A19E12" w:rsidR="00B705D9" w:rsidRPr="00132B16" w:rsidRDefault="00B705D9" w:rsidP="00B23806">
      <w:pPr>
        <w:autoSpaceDE w:val="0"/>
        <w:autoSpaceDN w:val="0"/>
        <w:adjustRightInd w:val="0"/>
        <w:rPr>
          <w:rFonts w:eastAsiaTheme="minorHAnsi" w:cs="Arial"/>
          <w:b/>
          <w:bCs/>
          <w:sz w:val="20"/>
        </w:rPr>
      </w:pPr>
    </w:p>
    <w:p w14:paraId="1E3E00B1" w14:textId="77777777" w:rsidR="00BE1AAF" w:rsidRPr="00132B16" w:rsidRDefault="00BE1AAF" w:rsidP="00B23806">
      <w:pPr>
        <w:autoSpaceDE w:val="0"/>
        <w:autoSpaceDN w:val="0"/>
        <w:adjustRightInd w:val="0"/>
        <w:rPr>
          <w:rFonts w:eastAsiaTheme="minorHAnsi" w:cs="Arial"/>
          <w:b/>
          <w:bCs/>
          <w:sz w:val="20"/>
        </w:rPr>
      </w:pPr>
    </w:p>
    <w:p w14:paraId="70466AAA" w14:textId="73C50334" w:rsidR="009273F2" w:rsidRPr="00132B16" w:rsidRDefault="00B23806" w:rsidP="00402852">
      <w:pPr>
        <w:rPr>
          <w:rFonts w:eastAsiaTheme="minorHAnsi" w:cs="Arial"/>
          <w:b/>
          <w:sz w:val="20"/>
        </w:rPr>
      </w:pPr>
      <w:r w:rsidRPr="00132B16">
        <w:rPr>
          <w:rFonts w:eastAsiaTheme="minorHAnsi" w:cs="Arial"/>
          <w:b/>
          <w:sz w:val="20"/>
        </w:rPr>
        <w:t>Formally adopted by the Board of Croda International Plc</w:t>
      </w:r>
      <w:r w:rsidR="00BE1AAF" w:rsidRPr="00132B16">
        <w:rPr>
          <w:rFonts w:eastAsiaTheme="minorHAnsi" w:cs="Arial"/>
          <w:b/>
          <w:sz w:val="20"/>
        </w:rPr>
        <w:t xml:space="preserve"> </w:t>
      </w:r>
      <w:r w:rsidRPr="00132B16">
        <w:rPr>
          <w:rFonts w:eastAsiaTheme="minorHAnsi" w:cs="Arial"/>
          <w:b/>
          <w:sz w:val="20"/>
        </w:rPr>
        <w:t xml:space="preserve">on </w:t>
      </w:r>
      <w:r w:rsidR="00B705D9" w:rsidRPr="00132B16">
        <w:rPr>
          <w:rFonts w:eastAsiaTheme="minorHAnsi" w:cs="Arial"/>
          <w:b/>
          <w:sz w:val="20"/>
        </w:rPr>
        <w:t>3 November</w:t>
      </w:r>
      <w:r w:rsidRPr="00132B16">
        <w:rPr>
          <w:rFonts w:eastAsiaTheme="minorHAnsi" w:cs="Arial"/>
          <w:b/>
          <w:sz w:val="20"/>
        </w:rPr>
        <w:t xml:space="preserve"> 20</w:t>
      </w:r>
      <w:r w:rsidR="00B705D9" w:rsidRPr="00132B16">
        <w:rPr>
          <w:rFonts w:eastAsiaTheme="minorHAnsi" w:cs="Arial"/>
          <w:b/>
          <w:sz w:val="20"/>
        </w:rPr>
        <w:t>21</w:t>
      </w:r>
      <w:r w:rsidR="004A296C" w:rsidRPr="00132B16">
        <w:rPr>
          <w:rFonts w:eastAsiaTheme="minorHAnsi" w:cs="Arial"/>
          <w:b/>
          <w:sz w:val="20"/>
        </w:rPr>
        <w:t xml:space="preserve"> and most recently reviewed on </w:t>
      </w:r>
      <w:r w:rsidR="0040441E" w:rsidRPr="00132B16">
        <w:rPr>
          <w:rFonts w:eastAsiaTheme="minorHAnsi" w:cs="Arial"/>
          <w:b/>
          <w:sz w:val="20"/>
        </w:rPr>
        <w:t xml:space="preserve">13 </w:t>
      </w:r>
      <w:r w:rsidR="004A296C" w:rsidRPr="00132B16">
        <w:rPr>
          <w:rFonts w:eastAsiaTheme="minorHAnsi" w:cs="Arial"/>
          <w:b/>
          <w:sz w:val="20"/>
        </w:rPr>
        <w:t xml:space="preserve">November </w:t>
      </w:r>
      <w:r w:rsidR="0040441E" w:rsidRPr="00132B16">
        <w:rPr>
          <w:rFonts w:eastAsiaTheme="minorHAnsi" w:cs="Arial"/>
          <w:b/>
          <w:sz w:val="20"/>
        </w:rPr>
        <w:t>2024</w:t>
      </w:r>
      <w:r w:rsidR="00C8546D" w:rsidRPr="00132B16">
        <w:rPr>
          <w:rFonts w:eastAsiaTheme="minorHAnsi" w:cs="Arial"/>
          <w:b/>
          <w:sz w:val="20"/>
        </w:rPr>
        <w:t>.</w:t>
      </w:r>
    </w:p>
    <w:sectPr w:rsidR="009273F2" w:rsidRPr="00132B16" w:rsidSect="00FF77C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C65A5" w14:textId="77777777" w:rsidR="005C0D06" w:rsidRDefault="005C0D06">
      <w:r>
        <w:separator/>
      </w:r>
    </w:p>
  </w:endnote>
  <w:endnote w:type="continuationSeparator" w:id="0">
    <w:p w14:paraId="3C510A2C" w14:textId="77777777" w:rsidR="005C0D06" w:rsidRDefault="005C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0ED1" w14:textId="77777777" w:rsidR="004A296C" w:rsidRDefault="004A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76E69" w14:textId="77777777" w:rsidR="004A296C" w:rsidRDefault="004A29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25D25" w14:textId="77777777" w:rsidR="004A296C" w:rsidRDefault="004A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6F6E6" w14:textId="77777777" w:rsidR="005C0D06" w:rsidRDefault="005C0D06">
      <w:r>
        <w:separator/>
      </w:r>
    </w:p>
  </w:footnote>
  <w:footnote w:type="continuationSeparator" w:id="0">
    <w:p w14:paraId="21DF6422" w14:textId="77777777" w:rsidR="005C0D06" w:rsidRDefault="005C0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B4A03" w14:textId="77777777" w:rsidR="004A296C" w:rsidRDefault="004A2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78008" w14:textId="77777777" w:rsidR="004A296C" w:rsidRDefault="004A2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54F3F" w14:textId="77777777" w:rsidR="004A296C" w:rsidRDefault="004A2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039E1"/>
    <w:multiLevelType w:val="hybridMultilevel"/>
    <w:tmpl w:val="E02A6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C03864"/>
    <w:multiLevelType w:val="hybridMultilevel"/>
    <w:tmpl w:val="3F0E4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157753"/>
    <w:multiLevelType w:val="hybridMultilevel"/>
    <w:tmpl w:val="E3560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E358C8"/>
    <w:multiLevelType w:val="hybridMultilevel"/>
    <w:tmpl w:val="88C8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177EDF"/>
    <w:multiLevelType w:val="hybridMultilevel"/>
    <w:tmpl w:val="0656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158523">
    <w:abstractNumId w:val="1"/>
  </w:num>
  <w:num w:numId="2" w16cid:durableId="1344286435">
    <w:abstractNumId w:val="2"/>
  </w:num>
  <w:num w:numId="3" w16cid:durableId="939223002">
    <w:abstractNumId w:val="0"/>
  </w:num>
  <w:num w:numId="4" w16cid:durableId="1400708548">
    <w:abstractNumId w:val="3"/>
  </w:num>
  <w:num w:numId="5" w16cid:durableId="1792744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06"/>
    <w:rsid w:val="000000FD"/>
    <w:rsid w:val="000627E5"/>
    <w:rsid w:val="00096138"/>
    <w:rsid w:val="000B6723"/>
    <w:rsid w:val="000C0C40"/>
    <w:rsid w:val="001317B4"/>
    <w:rsid w:val="00132B16"/>
    <w:rsid w:val="00171741"/>
    <w:rsid w:val="001C26AB"/>
    <w:rsid w:val="001C43C1"/>
    <w:rsid w:val="001C7946"/>
    <w:rsid w:val="001F098F"/>
    <w:rsid w:val="00223661"/>
    <w:rsid w:val="00230004"/>
    <w:rsid w:val="00240B07"/>
    <w:rsid w:val="00241681"/>
    <w:rsid w:val="002526E8"/>
    <w:rsid w:val="00260E40"/>
    <w:rsid w:val="002617A5"/>
    <w:rsid w:val="00293198"/>
    <w:rsid w:val="002A72FB"/>
    <w:rsid w:val="002C00C0"/>
    <w:rsid w:val="002C0FA1"/>
    <w:rsid w:val="002E5A0C"/>
    <w:rsid w:val="00321504"/>
    <w:rsid w:val="00330AFB"/>
    <w:rsid w:val="003314A5"/>
    <w:rsid w:val="00331620"/>
    <w:rsid w:val="003439FB"/>
    <w:rsid w:val="00367860"/>
    <w:rsid w:val="0038087D"/>
    <w:rsid w:val="00384F61"/>
    <w:rsid w:val="00391557"/>
    <w:rsid w:val="003B074B"/>
    <w:rsid w:val="003B27FD"/>
    <w:rsid w:val="003C6470"/>
    <w:rsid w:val="003F73BF"/>
    <w:rsid w:val="00402852"/>
    <w:rsid w:val="0040441E"/>
    <w:rsid w:val="00424439"/>
    <w:rsid w:val="0042620D"/>
    <w:rsid w:val="004279F9"/>
    <w:rsid w:val="0043607A"/>
    <w:rsid w:val="004444B4"/>
    <w:rsid w:val="004507CC"/>
    <w:rsid w:val="00484F13"/>
    <w:rsid w:val="0049756F"/>
    <w:rsid w:val="004A296C"/>
    <w:rsid w:val="004C173B"/>
    <w:rsid w:val="004D5DF9"/>
    <w:rsid w:val="004F55F5"/>
    <w:rsid w:val="005220FF"/>
    <w:rsid w:val="00522C08"/>
    <w:rsid w:val="005429D5"/>
    <w:rsid w:val="00543E87"/>
    <w:rsid w:val="005558EF"/>
    <w:rsid w:val="00557428"/>
    <w:rsid w:val="00561895"/>
    <w:rsid w:val="0058061E"/>
    <w:rsid w:val="005B5B75"/>
    <w:rsid w:val="005C0D06"/>
    <w:rsid w:val="00617E2C"/>
    <w:rsid w:val="00670C53"/>
    <w:rsid w:val="006A4BBC"/>
    <w:rsid w:val="006A7F39"/>
    <w:rsid w:val="006C0ED3"/>
    <w:rsid w:val="006E0F11"/>
    <w:rsid w:val="007009C2"/>
    <w:rsid w:val="00704E14"/>
    <w:rsid w:val="007078EF"/>
    <w:rsid w:val="00724ECE"/>
    <w:rsid w:val="007311AE"/>
    <w:rsid w:val="00732A63"/>
    <w:rsid w:val="00746EDD"/>
    <w:rsid w:val="00756447"/>
    <w:rsid w:val="00761027"/>
    <w:rsid w:val="0077656D"/>
    <w:rsid w:val="007821E7"/>
    <w:rsid w:val="007A4614"/>
    <w:rsid w:val="007C7166"/>
    <w:rsid w:val="007D321D"/>
    <w:rsid w:val="008410E8"/>
    <w:rsid w:val="008417B9"/>
    <w:rsid w:val="00855126"/>
    <w:rsid w:val="00863438"/>
    <w:rsid w:val="008654BD"/>
    <w:rsid w:val="0089199B"/>
    <w:rsid w:val="008A28DD"/>
    <w:rsid w:val="008A6E60"/>
    <w:rsid w:val="008B0908"/>
    <w:rsid w:val="008B3886"/>
    <w:rsid w:val="00922A3D"/>
    <w:rsid w:val="009273F2"/>
    <w:rsid w:val="0095770D"/>
    <w:rsid w:val="00962106"/>
    <w:rsid w:val="009957CF"/>
    <w:rsid w:val="009A0110"/>
    <w:rsid w:val="009A5FEA"/>
    <w:rsid w:val="009C0B76"/>
    <w:rsid w:val="009C350E"/>
    <w:rsid w:val="009D08EB"/>
    <w:rsid w:val="009D1995"/>
    <w:rsid w:val="009D7A05"/>
    <w:rsid w:val="00A017F3"/>
    <w:rsid w:val="00A12A3A"/>
    <w:rsid w:val="00A54569"/>
    <w:rsid w:val="00A7395C"/>
    <w:rsid w:val="00A96EC6"/>
    <w:rsid w:val="00AB758B"/>
    <w:rsid w:val="00AD5A68"/>
    <w:rsid w:val="00AE3FFF"/>
    <w:rsid w:val="00AE7AE7"/>
    <w:rsid w:val="00B0089F"/>
    <w:rsid w:val="00B04301"/>
    <w:rsid w:val="00B23806"/>
    <w:rsid w:val="00B23B50"/>
    <w:rsid w:val="00B47C87"/>
    <w:rsid w:val="00B705D9"/>
    <w:rsid w:val="00B750FF"/>
    <w:rsid w:val="00B75194"/>
    <w:rsid w:val="00B76E98"/>
    <w:rsid w:val="00B921D7"/>
    <w:rsid w:val="00B94DB5"/>
    <w:rsid w:val="00B953D1"/>
    <w:rsid w:val="00BC6178"/>
    <w:rsid w:val="00BD2AAD"/>
    <w:rsid w:val="00BD60C8"/>
    <w:rsid w:val="00BE1AAF"/>
    <w:rsid w:val="00C15171"/>
    <w:rsid w:val="00C30DC4"/>
    <w:rsid w:val="00C8546D"/>
    <w:rsid w:val="00C905CC"/>
    <w:rsid w:val="00CA584A"/>
    <w:rsid w:val="00CA61D6"/>
    <w:rsid w:val="00CA63BE"/>
    <w:rsid w:val="00CA7F57"/>
    <w:rsid w:val="00CB5F70"/>
    <w:rsid w:val="00CD39A6"/>
    <w:rsid w:val="00D303E0"/>
    <w:rsid w:val="00D67400"/>
    <w:rsid w:val="00D75ED6"/>
    <w:rsid w:val="00D81B42"/>
    <w:rsid w:val="00D8241B"/>
    <w:rsid w:val="00DB11B2"/>
    <w:rsid w:val="00DB7833"/>
    <w:rsid w:val="00DD502C"/>
    <w:rsid w:val="00DE5EEC"/>
    <w:rsid w:val="00DF6493"/>
    <w:rsid w:val="00E069DB"/>
    <w:rsid w:val="00E33C99"/>
    <w:rsid w:val="00E60CE4"/>
    <w:rsid w:val="00E65345"/>
    <w:rsid w:val="00E74C58"/>
    <w:rsid w:val="00E909AC"/>
    <w:rsid w:val="00E9347E"/>
    <w:rsid w:val="00EB7EF3"/>
    <w:rsid w:val="00EE147D"/>
    <w:rsid w:val="00EF1AD1"/>
    <w:rsid w:val="00F01922"/>
    <w:rsid w:val="00F213EF"/>
    <w:rsid w:val="00F23EA6"/>
    <w:rsid w:val="00F24763"/>
    <w:rsid w:val="00F25B67"/>
    <w:rsid w:val="00F31A0A"/>
    <w:rsid w:val="00F36B18"/>
    <w:rsid w:val="00F42693"/>
    <w:rsid w:val="00F71401"/>
    <w:rsid w:val="00FB2168"/>
    <w:rsid w:val="00FE7A88"/>
    <w:rsid w:val="00FF77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EB45"/>
  <w15:chartTrackingRefBased/>
  <w15:docId w15:val="{A95E9F28-8B2F-4787-A53D-44B99BB6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06"/>
    <w:pPr>
      <w:spacing w:after="0" w:line="240" w:lineRule="auto"/>
    </w:pPr>
    <w:rPr>
      <w:rFonts w:eastAsia="Times New Roman" w:cs="Times New Roman"/>
      <w:sz w:val="21"/>
      <w:szCs w:val="20"/>
    </w:rPr>
  </w:style>
  <w:style w:type="paragraph" w:styleId="Heading1">
    <w:name w:val="heading 1"/>
    <w:basedOn w:val="Normal"/>
    <w:next w:val="Normal"/>
    <w:link w:val="Heading1Char"/>
    <w:uiPriority w:val="9"/>
    <w:qFormat/>
    <w:rsid w:val="00756447"/>
    <w:pPr>
      <w:keepNext/>
      <w:keepLines/>
      <w:spacing w:before="480"/>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6447"/>
    <w:pPr>
      <w:spacing w:after="0" w:line="240" w:lineRule="auto"/>
    </w:pPr>
    <w:rPr>
      <w:b/>
    </w:rPr>
  </w:style>
  <w:style w:type="character" w:customStyle="1" w:styleId="Heading1Char">
    <w:name w:val="Heading 1 Char"/>
    <w:basedOn w:val="DefaultParagraphFont"/>
    <w:link w:val="Heading1"/>
    <w:uiPriority w:val="9"/>
    <w:rsid w:val="00756447"/>
    <w:rPr>
      <w:rFonts w:eastAsiaTheme="majorEastAsia" w:cstheme="majorBidi"/>
      <w:b/>
      <w:bCs/>
      <w:szCs w:val="28"/>
      <w:u w:val="single"/>
    </w:rPr>
  </w:style>
  <w:style w:type="paragraph" w:styleId="Header">
    <w:name w:val="header"/>
    <w:basedOn w:val="Normal"/>
    <w:link w:val="HeaderChar"/>
    <w:uiPriority w:val="99"/>
    <w:unhideWhenUsed/>
    <w:rsid w:val="00B23806"/>
    <w:pPr>
      <w:tabs>
        <w:tab w:val="center" w:pos="4513"/>
        <w:tab w:val="right" w:pos="9026"/>
      </w:tabs>
    </w:pPr>
  </w:style>
  <w:style w:type="character" w:customStyle="1" w:styleId="HeaderChar">
    <w:name w:val="Header Char"/>
    <w:basedOn w:val="DefaultParagraphFont"/>
    <w:link w:val="Header"/>
    <w:uiPriority w:val="99"/>
    <w:rsid w:val="00B23806"/>
    <w:rPr>
      <w:rFonts w:eastAsia="Times New Roman" w:cs="Times New Roman"/>
      <w:sz w:val="21"/>
      <w:szCs w:val="20"/>
    </w:rPr>
  </w:style>
  <w:style w:type="paragraph" w:styleId="Footer">
    <w:name w:val="footer"/>
    <w:basedOn w:val="Normal"/>
    <w:link w:val="FooterChar"/>
    <w:uiPriority w:val="99"/>
    <w:unhideWhenUsed/>
    <w:rsid w:val="00B23806"/>
    <w:pPr>
      <w:tabs>
        <w:tab w:val="center" w:pos="4513"/>
        <w:tab w:val="right" w:pos="9026"/>
      </w:tabs>
    </w:pPr>
  </w:style>
  <w:style w:type="character" w:customStyle="1" w:styleId="FooterChar">
    <w:name w:val="Footer Char"/>
    <w:basedOn w:val="DefaultParagraphFont"/>
    <w:link w:val="Footer"/>
    <w:uiPriority w:val="99"/>
    <w:rsid w:val="00B23806"/>
    <w:rPr>
      <w:rFonts w:eastAsia="Times New Roman" w:cs="Times New Roman"/>
      <w:sz w:val="21"/>
      <w:szCs w:val="20"/>
    </w:rPr>
  </w:style>
  <w:style w:type="paragraph" w:styleId="ListParagraph">
    <w:name w:val="List Paragraph"/>
    <w:basedOn w:val="Normal"/>
    <w:uiPriority w:val="34"/>
    <w:qFormat/>
    <w:rsid w:val="009C350E"/>
    <w:pPr>
      <w:ind w:left="720"/>
      <w:contextualSpacing/>
    </w:pPr>
  </w:style>
  <w:style w:type="paragraph" w:styleId="BalloonText">
    <w:name w:val="Balloon Text"/>
    <w:basedOn w:val="Normal"/>
    <w:link w:val="BalloonTextChar"/>
    <w:uiPriority w:val="99"/>
    <w:semiHidden/>
    <w:unhideWhenUsed/>
    <w:rsid w:val="006A7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F39"/>
    <w:rPr>
      <w:rFonts w:ascii="Segoe UI" w:eastAsia="Times New Roman" w:hAnsi="Segoe UI" w:cs="Segoe UI"/>
      <w:sz w:val="18"/>
      <w:szCs w:val="18"/>
    </w:rPr>
  </w:style>
  <w:style w:type="paragraph" w:styleId="Revision">
    <w:name w:val="Revision"/>
    <w:hidden/>
    <w:uiPriority w:val="99"/>
    <w:semiHidden/>
    <w:rsid w:val="004A296C"/>
    <w:pPr>
      <w:spacing w:after="0" w:line="240" w:lineRule="auto"/>
    </w:pPr>
    <w:rPr>
      <w:rFonts w:eastAsia="Times New Roman"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5C7EEA47F5D045861C11524F6A6F64" ma:contentTypeVersion="12" ma:contentTypeDescription="Create a new document." ma:contentTypeScope="" ma:versionID="1fc1f459924cbed26563a28fe65e55c3">
  <xsd:schema xmlns:xsd="http://www.w3.org/2001/XMLSchema" xmlns:xs="http://www.w3.org/2001/XMLSchema" xmlns:p="http://schemas.microsoft.com/office/2006/metadata/properties" xmlns:ns3="93f6cf0b-ca5d-42ca-bdc9-d7b20d9e06b1" xmlns:ns4="8aa313d2-c500-4507-a54a-767717c602a8" targetNamespace="http://schemas.microsoft.com/office/2006/metadata/properties" ma:root="true" ma:fieldsID="e0b860ef788f57022780f06b1e62119e" ns3:_="" ns4:_="">
    <xsd:import namespace="93f6cf0b-ca5d-42ca-bdc9-d7b20d9e06b1"/>
    <xsd:import namespace="8aa313d2-c500-4507-a54a-767717c602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cf0b-ca5d-42ca-bdc9-d7b20d9e0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313d2-c500-4507-a54a-767717c602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5E86C-3733-48F0-B33E-48422B59B25A}">
  <ds:schemaRefs>
    <ds:schemaRef ds:uri="http://schemas.openxmlformats.org/officeDocument/2006/bibliography"/>
  </ds:schemaRefs>
</ds:datastoreItem>
</file>

<file path=customXml/itemProps2.xml><?xml version="1.0" encoding="utf-8"?>
<ds:datastoreItem xmlns:ds="http://schemas.openxmlformats.org/officeDocument/2006/customXml" ds:itemID="{504140FE-3E83-4136-87A5-B4A4E4581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cf0b-ca5d-42ca-bdc9-d7b20d9e06b1"/>
    <ds:schemaRef ds:uri="8aa313d2-c500-4507-a54a-767717c60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33BCC-1996-4E42-B785-69B44E4431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265C93-415A-46F2-99E7-E1FD757DB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Tanna, Ritesh</dc:creator>
  <cp:keywords/>
  <dc:description/>
  <cp:lastModifiedBy>Tanna, Ritesh</cp:lastModifiedBy>
  <cp:revision>9</cp:revision>
  <dcterms:created xsi:type="dcterms:W3CDTF">2024-10-23T13:08:00Z</dcterms:created>
  <dcterms:modified xsi:type="dcterms:W3CDTF">2024-11-13T17:15:00Z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0x010100845C7EEA47F5D045861C11524F6A6F64</vt:lpwstr>
  </property>
</Properties>
</file>