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C8BAD" w14:textId="77777777" w:rsidR="00143465" w:rsidRDefault="00B23806" w:rsidP="00B23806">
      <w:pPr>
        <w:autoSpaceDE w:val="0"/>
        <w:autoSpaceDN w:val="0"/>
        <w:adjustRightInd w:val="0"/>
        <w:rPr>
          <w:rFonts w:eastAsiaTheme="minorHAnsi" w:cs="Arial"/>
          <w:b/>
          <w:bCs/>
          <w:sz w:val="22"/>
          <w:szCs w:val="22"/>
        </w:rPr>
      </w:pPr>
      <w:r w:rsidRPr="00F24763">
        <w:rPr>
          <w:rFonts w:eastAsiaTheme="minorHAnsi" w:cs="Arial"/>
          <w:b/>
          <w:bCs/>
          <w:sz w:val="22"/>
          <w:szCs w:val="22"/>
        </w:rPr>
        <w:t xml:space="preserve">Croda International Plc </w:t>
      </w:r>
    </w:p>
    <w:p w14:paraId="08FF7FB9" w14:textId="4B9EA4FE" w:rsidR="00B23806" w:rsidRPr="00F24763" w:rsidRDefault="00B23806" w:rsidP="00B23806">
      <w:pPr>
        <w:autoSpaceDE w:val="0"/>
        <w:autoSpaceDN w:val="0"/>
        <w:adjustRightInd w:val="0"/>
        <w:rPr>
          <w:rFonts w:eastAsiaTheme="minorHAnsi" w:cs="Arial"/>
          <w:b/>
          <w:bCs/>
          <w:sz w:val="18"/>
          <w:szCs w:val="18"/>
        </w:rPr>
      </w:pPr>
      <w:r w:rsidRPr="00F24763">
        <w:rPr>
          <w:rFonts w:eastAsiaTheme="minorHAnsi" w:cs="Arial"/>
          <w:b/>
          <w:bCs/>
          <w:sz w:val="22"/>
          <w:szCs w:val="22"/>
        </w:rPr>
        <w:t xml:space="preserve">Group Tax </w:t>
      </w:r>
      <w:r w:rsidR="00144679">
        <w:rPr>
          <w:rFonts w:eastAsiaTheme="minorHAnsi" w:cs="Arial"/>
          <w:b/>
          <w:bCs/>
          <w:sz w:val="22"/>
          <w:szCs w:val="22"/>
        </w:rPr>
        <w:t xml:space="preserve">Compliance </w:t>
      </w:r>
      <w:r w:rsidR="00D52D07">
        <w:rPr>
          <w:rFonts w:eastAsiaTheme="minorHAnsi" w:cs="Arial"/>
          <w:b/>
          <w:bCs/>
          <w:sz w:val="22"/>
          <w:szCs w:val="22"/>
        </w:rPr>
        <w:t xml:space="preserve">Policy </w:t>
      </w:r>
    </w:p>
    <w:p w14:paraId="1EC2C247" w14:textId="77777777" w:rsidR="008A28DD" w:rsidRDefault="008A28DD" w:rsidP="00B23806">
      <w:pPr>
        <w:autoSpaceDE w:val="0"/>
        <w:autoSpaceDN w:val="0"/>
        <w:adjustRightInd w:val="0"/>
        <w:rPr>
          <w:rFonts w:eastAsiaTheme="minorHAnsi" w:cs="Arial"/>
          <w:b/>
          <w:bCs/>
          <w:sz w:val="20"/>
        </w:rPr>
      </w:pPr>
    </w:p>
    <w:p w14:paraId="4CD3A3FD" w14:textId="05B57E81"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b/>
          <w:bCs/>
          <w:sz w:val="18"/>
          <w:szCs w:val="18"/>
        </w:rPr>
        <w:t xml:space="preserve">Introduction </w:t>
      </w:r>
    </w:p>
    <w:p w14:paraId="6E46FB32" w14:textId="534C24F0"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sz w:val="18"/>
          <w:szCs w:val="18"/>
        </w:rPr>
        <w:t xml:space="preserve">This document, approved by the Board of Croda International Plc, sets out the Group’s policy and approach to conducting its tax affairs and dealing with tax risk, and is made available to </w:t>
      </w:r>
      <w:proofErr w:type="gramStart"/>
      <w:r w:rsidRPr="0077656D">
        <w:rPr>
          <w:rFonts w:eastAsiaTheme="minorHAnsi" w:cs="Arial"/>
          <w:sz w:val="18"/>
          <w:szCs w:val="18"/>
        </w:rPr>
        <w:t>all of</w:t>
      </w:r>
      <w:proofErr w:type="gramEnd"/>
      <w:r w:rsidRPr="0077656D">
        <w:rPr>
          <w:rFonts w:eastAsiaTheme="minorHAnsi" w:cs="Arial"/>
          <w:sz w:val="18"/>
          <w:szCs w:val="18"/>
        </w:rPr>
        <w:t xml:space="preserve"> the Group’s stakeholders. The document will be </w:t>
      </w:r>
      <w:r w:rsidR="00C8588B">
        <w:rPr>
          <w:rFonts w:eastAsiaTheme="minorHAnsi" w:cs="Arial"/>
          <w:sz w:val="18"/>
          <w:szCs w:val="18"/>
        </w:rPr>
        <w:t>annually</w:t>
      </w:r>
      <w:r w:rsidRPr="0077656D">
        <w:rPr>
          <w:rFonts w:eastAsiaTheme="minorHAnsi" w:cs="Arial"/>
          <w:sz w:val="18"/>
          <w:szCs w:val="18"/>
        </w:rPr>
        <w:t xml:space="preserve"> reviewed by the Group Tax Department, and any amendments will be approved by the Board of Directors. It is effective for the years ending 31 December 2017 onwards. </w:t>
      </w:r>
    </w:p>
    <w:p w14:paraId="171CFFF7" w14:textId="77777777" w:rsidR="009C350E" w:rsidRPr="0077656D" w:rsidRDefault="009C350E" w:rsidP="00B23806">
      <w:pPr>
        <w:autoSpaceDE w:val="0"/>
        <w:autoSpaceDN w:val="0"/>
        <w:adjustRightInd w:val="0"/>
        <w:rPr>
          <w:rFonts w:eastAsiaTheme="minorHAnsi" w:cs="Arial"/>
          <w:sz w:val="18"/>
          <w:szCs w:val="18"/>
        </w:rPr>
      </w:pPr>
    </w:p>
    <w:p w14:paraId="341FA8A6" w14:textId="1F35246F"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sz w:val="18"/>
          <w:szCs w:val="18"/>
        </w:rPr>
        <w:t xml:space="preserve">The Group Tax Department communicates across </w:t>
      </w:r>
      <w:proofErr w:type="gramStart"/>
      <w:r w:rsidRPr="0077656D">
        <w:rPr>
          <w:rFonts w:eastAsiaTheme="minorHAnsi" w:cs="Arial"/>
          <w:sz w:val="18"/>
          <w:szCs w:val="18"/>
        </w:rPr>
        <w:t>all of</w:t>
      </w:r>
      <w:proofErr w:type="gramEnd"/>
      <w:r w:rsidRPr="0077656D">
        <w:rPr>
          <w:rFonts w:eastAsiaTheme="minorHAnsi" w:cs="Arial"/>
          <w:sz w:val="18"/>
          <w:szCs w:val="18"/>
        </w:rPr>
        <w:t xml:space="preserve"> our businesses to ensure that: </w:t>
      </w:r>
    </w:p>
    <w:p w14:paraId="50CE7E9B" w14:textId="56296777" w:rsidR="009C350E" w:rsidRPr="0077656D" w:rsidRDefault="00B23806" w:rsidP="00B23806">
      <w:pPr>
        <w:pStyle w:val="ListParagraph"/>
        <w:numPr>
          <w:ilvl w:val="0"/>
          <w:numId w:val="1"/>
        </w:numPr>
        <w:autoSpaceDE w:val="0"/>
        <w:autoSpaceDN w:val="0"/>
        <w:adjustRightInd w:val="0"/>
        <w:spacing w:after="60"/>
        <w:rPr>
          <w:rFonts w:eastAsiaTheme="minorHAnsi" w:cs="Arial"/>
          <w:sz w:val="18"/>
          <w:szCs w:val="18"/>
        </w:rPr>
      </w:pPr>
      <w:r w:rsidRPr="0077656D">
        <w:rPr>
          <w:rFonts w:eastAsiaTheme="minorHAnsi" w:cs="Arial"/>
          <w:sz w:val="18"/>
          <w:szCs w:val="18"/>
        </w:rPr>
        <w:t xml:space="preserve">The tax </w:t>
      </w:r>
      <w:r w:rsidR="00144679">
        <w:rPr>
          <w:rFonts w:eastAsiaTheme="minorHAnsi" w:cs="Arial"/>
          <w:sz w:val="18"/>
          <w:szCs w:val="18"/>
        </w:rPr>
        <w:t>complianc</w:t>
      </w:r>
      <w:r w:rsidR="00ED2711">
        <w:rPr>
          <w:rFonts w:eastAsiaTheme="minorHAnsi" w:cs="Arial"/>
          <w:sz w:val="18"/>
          <w:szCs w:val="18"/>
        </w:rPr>
        <w:t>e policy</w:t>
      </w:r>
      <w:r w:rsidR="00144679" w:rsidRPr="0077656D">
        <w:rPr>
          <w:rFonts w:eastAsiaTheme="minorHAnsi" w:cs="Arial"/>
          <w:sz w:val="18"/>
          <w:szCs w:val="18"/>
        </w:rPr>
        <w:t xml:space="preserve"> </w:t>
      </w:r>
      <w:r w:rsidRPr="0077656D">
        <w:rPr>
          <w:rFonts w:eastAsiaTheme="minorHAnsi" w:cs="Arial"/>
          <w:sz w:val="18"/>
          <w:szCs w:val="18"/>
        </w:rPr>
        <w:t>is adopted and followed consistently across the Group, with clear lines of responsibility and accountability</w:t>
      </w:r>
    </w:p>
    <w:p w14:paraId="101DB786" w14:textId="4B15ACAA" w:rsidR="004C173B" w:rsidRPr="0077656D" w:rsidRDefault="00B23806" w:rsidP="00B23806">
      <w:pPr>
        <w:pStyle w:val="ListParagraph"/>
        <w:numPr>
          <w:ilvl w:val="0"/>
          <w:numId w:val="1"/>
        </w:numPr>
        <w:autoSpaceDE w:val="0"/>
        <w:autoSpaceDN w:val="0"/>
        <w:adjustRightInd w:val="0"/>
        <w:spacing w:after="60"/>
        <w:rPr>
          <w:rFonts w:eastAsiaTheme="minorHAnsi" w:cs="Arial"/>
          <w:sz w:val="18"/>
          <w:szCs w:val="18"/>
        </w:rPr>
      </w:pPr>
      <w:r w:rsidRPr="0077656D">
        <w:rPr>
          <w:rFonts w:eastAsiaTheme="minorHAnsi" w:cs="Arial"/>
          <w:sz w:val="18"/>
          <w:szCs w:val="18"/>
        </w:rPr>
        <w:t xml:space="preserve">There is alignment of the </w:t>
      </w:r>
      <w:r w:rsidR="00ED2711">
        <w:rPr>
          <w:rFonts w:eastAsiaTheme="minorHAnsi" w:cs="Arial"/>
          <w:sz w:val="18"/>
          <w:szCs w:val="18"/>
        </w:rPr>
        <w:t>policy</w:t>
      </w:r>
      <w:r w:rsidR="00ED2711" w:rsidRPr="0077656D">
        <w:rPr>
          <w:rFonts w:eastAsiaTheme="minorHAnsi" w:cs="Arial"/>
          <w:sz w:val="18"/>
          <w:szCs w:val="18"/>
        </w:rPr>
        <w:t xml:space="preserve"> </w:t>
      </w:r>
      <w:r w:rsidRPr="0077656D">
        <w:rPr>
          <w:rFonts w:eastAsiaTheme="minorHAnsi" w:cs="Arial"/>
          <w:sz w:val="18"/>
          <w:szCs w:val="18"/>
        </w:rPr>
        <w:t xml:space="preserve">with the Group’s overall approach to corporate governance and risk management, and </w:t>
      </w:r>
    </w:p>
    <w:p w14:paraId="16EF51AA" w14:textId="4BF164C0" w:rsidR="00B23806" w:rsidRPr="0077656D" w:rsidDel="00C8588B" w:rsidRDefault="00B23806" w:rsidP="00B23806">
      <w:pPr>
        <w:pStyle w:val="ListParagraph"/>
        <w:numPr>
          <w:ilvl w:val="0"/>
          <w:numId w:val="1"/>
        </w:numPr>
        <w:autoSpaceDE w:val="0"/>
        <w:autoSpaceDN w:val="0"/>
        <w:adjustRightInd w:val="0"/>
        <w:spacing w:after="60"/>
        <w:rPr>
          <w:rFonts w:eastAsiaTheme="minorHAnsi" w:cs="Arial"/>
          <w:sz w:val="18"/>
          <w:szCs w:val="18"/>
        </w:rPr>
      </w:pPr>
      <w:r w:rsidRPr="0077656D" w:rsidDel="00C8588B">
        <w:rPr>
          <w:rFonts w:eastAsiaTheme="minorHAnsi" w:cs="Arial"/>
          <w:sz w:val="18"/>
          <w:szCs w:val="18"/>
        </w:rPr>
        <w:t xml:space="preserve">The Group pays the right amount of tax required of it under the laws and regulations of the countries in which it operates. </w:t>
      </w:r>
    </w:p>
    <w:p w14:paraId="2A37EF23" w14:textId="77777777" w:rsidR="00CD39A6" w:rsidRDefault="00CD39A6" w:rsidP="00B23806">
      <w:pPr>
        <w:autoSpaceDE w:val="0"/>
        <w:autoSpaceDN w:val="0"/>
        <w:adjustRightInd w:val="0"/>
        <w:rPr>
          <w:rFonts w:eastAsiaTheme="minorHAnsi" w:cs="Arial"/>
          <w:sz w:val="18"/>
          <w:szCs w:val="18"/>
        </w:rPr>
      </w:pPr>
    </w:p>
    <w:p w14:paraId="65602FEE" w14:textId="35D7DFBF" w:rsidR="00E60CE4" w:rsidRDefault="00E60CE4" w:rsidP="00E60CE4">
      <w:pPr>
        <w:autoSpaceDE w:val="0"/>
        <w:autoSpaceDN w:val="0"/>
        <w:adjustRightInd w:val="0"/>
        <w:rPr>
          <w:rFonts w:eastAsiaTheme="minorHAnsi" w:cs="Arial"/>
          <w:sz w:val="18"/>
          <w:szCs w:val="18"/>
        </w:rPr>
      </w:pPr>
      <w:r>
        <w:rPr>
          <w:rFonts w:eastAsiaTheme="minorHAnsi" w:cs="Arial"/>
          <w:sz w:val="18"/>
          <w:szCs w:val="18"/>
        </w:rPr>
        <w:t>The</w:t>
      </w:r>
      <w:r w:rsidR="00F71401" w:rsidRPr="00F71401">
        <w:rPr>
          <w:rFonts w:eastAsiaTheme="minorHAnsi" w:cs="Arial"/>
          <w:sz w:val="18"/>
          <w:szCs w:val="18"/>
        </w:rPr>
        <w:t xml:space="preserve"> </w:t>
      </w:r>
      <w:r w:rsidR="00F71401">
        <w:rPr>
          <w:rFonts w:eastAsiaTheme="minorHAnsi" w:cs="Arial"/>
          <w:sz w:val="18"/>
          <w:szCs w:val="18"/>
        </w:rPr>
        <w:t>Group</w:t>
      </w:r>
      <w:r>
        <w:rPr>
          <w:rFonts w:eastAsiaTheme="minorHAnsi" w:cs="Arial"/>
          <w:sz w:val="18"/>
          <w:szCs w:val="18"/>
        </w:rPr>
        <w:t xml:space="preserve"> tax </w:t>
      </w:r>
      <w:r w:rsidR="00ED2711">
        <w:rPr>
          <w:rFonts w:eastAsiaTheme="minorHAnsi" w:cs="Arial"/>
          <w:sz w:val="18"/>
          <w:szCs w:val="18"/>
        </w:rPr>
        <w:t>compliance policy</w:t>
      </w:r>
      <w:r w:rsidR="00ED2711" w:rsidRPr="001C43C1">
        <w:rPr>
          <w:rFonts w:eastAsiaTheme="minorHAnsi" w:cs="Arial"/>
          <w:sz w:val="18"/>
          <w:szCs w:val="18"/>
        </w:rPr>
        <w:t xml:space="preserve"> </w:t>
      </w:r>
      <w:r w:rsidRPr="001C43C1">
        <w:rPr>
          <w:rFonts w:eastAsiaTheme="minorHAnsi" w:cs="Arial"/>
          <w:sz w:val="18"/>
          <w:szCs w:val="18"/>
        </w:rPr>
        <w:t xml:space="preserve">is set out through </w:t>
      </w:r>
      <w:r w:rsidR="00F71401">
        <w:rPr>
          <w:rFonts w:eastAsiaTheme="minorHAnsi" w:cs="Arial"/>
          <w:sz w:val="18"/>
          <w:szCs w:val="18"/>
        </w:rPr>
        <w:t xml:space="preserve">the </w:t>
      </w:r>
      <w:r w:rsidR="00C8588B">
        <w:rPr>
          <w:rFonts w:eastAsiaTheme="minorHAnsi" w:cs="Arial"/>
          <w:sz w:val="18"/>
          <w:szCs w:val="18"/>
        </w:rPr>
        <w:t xml:space="preserve">Group </w:t>
      </w:r>
      <w:r w:rsidRPr="001C43C1">
        <w:rPr>
          <w:rFonts w:eastAsiaTheme="minorHAnsi" w:cs="Arial"/>
          <w:sz w:val="18"/>
          <w:szCs w:val="18"/>
        </w:rPr>
        <w:t xml:space="preserve">Tax Policy and </w:t>
      </w:r>
      <w:r w:rsidR="00C8588B">
        <w:rPr>
          <w:rFonts w:eastAsiaTheme="minorHAnsi" w:cs="Arial"/>
          <w:sz w:val="18"/>
          <w:szCs w:val="18"/>
        </w:rPr>
        <w:t xml:space="preserve">Group </w:t>
      </w:r>
      <w:r>
        <w:rPr>
          <w:rFonts w:eastAsiaTheme="minorHAnsi" w:cs="Arial"/>
          <w:sz w:val="18"/>
          <w:szCs w:val="18"/>
        </w:rPr>
        <w:t xml:space="preserve">Tax </w:t>
      </w:r>
      <w:r w:rsidRPr="001C43C1">
        <w:rPr>
          <w:rFonts w:eastAsiaTheme="minorHAnsi" w:cs="Arial"/>
          <w:sz w:val="18"/>
          <w:szCs w:val="18"/>
        </w:rPr>
        <w:t>Code of Conduct</w:t>
      </w:r>
      <w:r>
        <w:rPr>
          <w:rFonts w:eastAsiaTheme="minorHAnsi" w:cs="Arial"/>
          <w:sz w:val="18"/>
          <w:szCs w:val="18"/>
        </w:rPr>
        <w:t xml:space="preserve"> as outlined below. </w:t>
      </w:r>
    </w:p>
    <w:p w14:paraId="3EB86553" w14:textId="77777777" w:rsidR="004507CC" w:rsidRPr="0077656D" w:rsidRDefault="004507CC" w:rsidP="00B23806">
      <w:pPr>
        <w:autoSpaceDE w:val="0"/>
        <w:autoSpaceDN w:val="0"/>
        <w:adjustRightInd w:val="0"/>
        <w:rPr>
          <w:rFonts w:eastAsiaTheme="minorHAnsi" w:cs="Arial"/>
          <w:sz w:val="18"/>
          <w:szCs w:val="18"/>
        </w:rPr>
      </w:pPr>
    </w:p>
    <w:p w14:paraId="44BA05EC" w14:textId="77777777"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b/>
          <w:bCs/>
          <w:sz w:val="18"/>
          <w:szCs w:val="18"/>
        </w:rPr>
        <w:t xml:space="preserve">Group Tax Policy </w:t>
      </w:r>
    </w:p>
    <w:p w14:paraId="2F820CC5" w14:textId="77777777"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sz w:val="18"/>
          <w:szCs w:val="18"/>
        </w:rPr>
        <w:t xml:space="preserve">The Group is committed to conduct its tax affairs consistent with the following objectives, to: </w:t>
      </w:r>
    </w:p>
    <w:p w14:paraId="2B30B9D5" w14:textId="5DD7AD54" w:rsidR="00B23806" w:rsidRPr="0077656D" w:rsidRDefault="00B23806" w:rsidP="004C173B">
      <w:pPr>
        <w:pStyle w:val="ListParagraph"/>
        <w:numPr>
          <w:ilvl w:val="0"/>
          <w:numId w:val="3"/>
        </w:numPr>
        <w:autoSpaceDE w:val="0"/>
        <w:autoSpaceDN w:val="0"/>
        <w:adjustRightInd w:val="0"/>
        <w:spacing w:after="60"/>
        <w:rPr>
          <w:rFonts w:eastAsiaTheme="minorHAnsi" w:cs="Arial"/>
          <w:sz w:val="18"/>
          <w:szCs w:val="18"/>
        </w:rPr>
      </w:pPr>
      <w:r w:rsidRPr="0077656D">
        <w:rPr>
          <w:rFonts w:eastAsiaTheme="minorHAnsi" w:cs="Arial"/>
          <w:sz w:val="18"/>
          <w:szCs w:val="18"/>
        </w:rPr>
        <w:t xml:space="preserve">Comply with all relevant laws, rules, regulations, and reporting and disclosure requirements, wherever we operate </w:t>
      </w:r>
    </w:p>
    <w:p w14:paraId="0755F92C" w14:textId="7C094224" w:rsidR="00B23806" w:rsidRPr="0077656D" w:rsidRDefault="00B23806" w:rsidP="004C173B">
      <w:pPr>
        <w:pStyle w:val="ListParagraph"/>
        <w:numPr>
          <w:ilvl w:val="0"/>
          <w:numId w:val="3"/>
        </w:numPr>
        <w:autoSpaceDE w:val="0"/>
        <w:autoSpaceDN w:val="0"/>
        <w:adjustRightInd w:val="0"/>
        <w:spacing w:after="60"/>
        <w:rPr>
          <w:rFonts w:eastAsiaTheme="minorHAnsi" w:cs="Arial"/>
          <w:sz w:val="18"/>
          <w:szCs w:val="18"/>
        </w:rPr>
      </w:pPr>
      <w:r w:rsidRPr="0077656D">
        <w:rPr>
          <w:rFonts w:eastAsiaTheme="minorHAnsi" w:cs="Arial"/>
          <w:sz w:val="18"/>
          <w:szCs w:val="18"/>
        </w:rPr>
        <w:t xml:space="preserve">Ensure the tax </w:t>
      </w:r>
      <w:r w:rsidR="00581E2E">
        <w:rPr>
          <w:rFonts w:eastAsiaTheme="minorHAnsi" w:cs="Arial"/>
          <w:sz w:val="18"/>
          <w:szCs w:val="18"/>
        </w:rPr>
        <w:t>policy</w:t>
      </w:r>
      <w:r w:rsidR="00581E2E" w:rsidRPr="0077656D">
        <w:rPr>
          <w:rFonts w:eastAsiaTheme="minorHAnsi" w:cs="Arial"/>
          <w:sz w:val="18"/>
          <w:szCs w:val="18"/>
        </w:rPr>
        <w:t xml:space="preserve"> </w:t>
      </w:r>
      <w:proofErr w:type="gramStart"/>
      <w:r w:rsidRPr="0077656D">
        <w:rPr>
          <w:rFonts w:eastAsiaTheme="minorHAnsi" w:cs="Arial"/>
          <w:sz w:val="18"/>
          <w:szCs w:val="18"/>
        </w:rPr>
        <w:t>is at all times</w:t>
      </w:r>
      <w:proofErr w:type="gramEnd"/>
      <w:r w:rsidRPr="0077656D">
        <w:rPr>
          <w:rFonts w:eastAsiaTheme="minorHAnsi" w:cs="Arial"/>
          <w:sz w:val="18"/>
          <w:szCs w:val="18"/>
        </w:rPr>
        <w:t xml:space="preserve"> consistent with the Group’s overall strategy, its approach to risk, and the Group’s values </w:t>
      </w:r>
    </w:p>
    <w:p w14:paraId="0844C9D4" w14:textId="102461F6" w:rsidR="00B23806" w:rsidRPr="0077656D" w:rsidRDefault="00B23806" w:rsidP="004C173B">
      <w:pPr>
        <w:pStyle w:val="ListParagraph"/>
        <w:numPr>
          <w:ilvl w:val="0"/>
          <w:numId w:val="3"/>
        </w:numPr>
        <w:autoSpaceDE w:val="0"/>
        <w:autoSpaceDN w:val="0"/>
        <w:adjustRightInd w:val="0"/>
        <w:spacing w:after="60"/>
        <w:rPr>
          <w:rFonts w:eastAsiaTheme="minorHAnsi" w:cs="Arial"/>
          <w:sz w:val="18"/>
          <w:szCs w:val="18"/>
        </w:rPr>
      </w:pPr>
      <w:r w:rsidRPr="0077656D">
        <w:rPr>
          <w:rFonts w:eastAsiaTheme="minorHAnsi" w:cs="Arial"/>
          <w:sz w:val="18"/>
          <w:szCs w:val="18"/>
        </w:rPr>
        <w:t xml:space="preserve">Apply professional diligence and care in the management of all risks associated with tax matters, and ensure governance and assurance procedures are appropriate </w:t>
      </w:r>
    </w:p>
    <w:p w14:paraId="51FF905F" w14:textId="591459FA" w:rsidR="00B23806" w:rsidRPr="0077656D" w:rsidRDefault="00B23806" w:rsidP="004C173B">
      <w:pPr>
        <w:pStyle w:val="ListParagraph"/>
        <w:numPr>
          <w:ilvl w:val="0"/>
          <w:numId w:val="3"/>
        </w:numPr>
        <w:autoSpaceDE w:val="0"/>
        <w:autoSpaceDN w:val="0"/>
        <w:adjustRightInd w:val="0"/>
        <w:spacing w:after="60"/>
        <w:rPr>
          <w:rFonts w:eastAsiaTheme="minorHAnsi" w:cs="Arial"/>
          <w:sz w:val="18"/>
          <w:szCs w:val="18"/>
        </w:rPr>
      </w:pPr>
      <w:r w:rsidRPr="0077656D">
        <w:rPr>
          <w:rFonts w:eastAsiaTheme="minorHAnsi" w:cs="Arial"/>
          <w:sz w:val="18"/>
          <w:szCs w:val="18"/>
        </w:rPr>
        <w:t xml:space="preserve">Foster constructive, professional and transparent relationships with tax authorities, based on the concepts of integrity, collaboration and mutual trust </w:t>
      </w:r>
    </w:p>
    <w:p w14:paraId="54527BDB" w14:textId="792CE8A2" w:rsidR="00B23806" w:rsidRPr="0077656D" w:rsidRDefault="00B23806" w:rsidP="004C173B">
      <w:pPr>
        <w:pStyle w:val="ListParagraph"/>
        <w:numPr>
          <w:ilvl w:val="0"/>
          <w:numId w:val="3"/>
        </w:numPr>
        <w:autoSpaceDE w:val="0"/>
        <w:autoSpaceDN w:val="0"/>
        <w:adjustRightInd w:val="0"/>
        <w:rPr>
          <w:rFonts w:eastAsiaTheme="minorHAnsi" w:cs="Arial"/>
          <w:sz w:val="18"/>
          <w:szCs w:val="18"/>
        </w:rPr>
      </w:pPr>
      <w:r w:rsidRPr="0077656D">
        <w:rPr>
          <w:rFonts w:eastAsiaTheme="minorHAnsi" w:cs="Arial"/>
          <w:sz w:val="18"/>
          <w:szCs w:val="18"/>
        </w:rPr>
        <w:t xml:space="preserve">Use incentives and reliefs to minimise the tax costs of conducting its business activities, but not to use them for purposes which are knowingly contradictory to the intent of the legislation. </w:t>
      </w:r>
    </w:p>
    <w:p w14:paraId="60FBAEA3" w14:textId="05E2F412" w:rsidR="004C173B" w:rsidRDefault="004C173B" w:rsidP="00B23806">
      <w:pPr>
        <w:autoSpaceDE w:val="0"/>
        <w:autoSpaceDN w:val="0"/>
        <w:adjustRightInd w:val="0"/>
        <w:rPr>
          <w:rFonts w:eastAsiaTheme="minorHAnsi" w:cs="Arial"/>
          <w:sz w:val="18"/>
          <w:szCs w:val="18"/>
        </w:rPr>
      </w:pPr>
    </w:p>
    <w:p w14:paraId="6EB9FC73" w14:textId="77777777" w:rsidR="00BC6178" w:rsidRPr="0077656D" w:rsidRDefault="00BC6178" w:rsidP="00B23806">
      <w:pPr>
        <w:autoSpaceDE w:val="0"/>
        <w:autoSpaceDN w:val="0"/>
        <w:adjustRightInd w:val="0"/>
        <w:rPr>
          <w:rFonts w:eastAsiaTheme="minorHAnsi" w:cs="Arial"/>
          <w:sz w:val="18"/>
          <w:szCs w:val="18"/>
        </w:rPr>
      </w:pPr>
    </w:p>
    <w:p w14:paraId="202E1229" w14:textId="77777777"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b/>
          <w:bCs/>
          <w:sz w:val="18"/>
          <w:szCs w:val="18"/>
        </w:rPr>
        <w:t xml:space="preserve">Group Tax Code of Conduct </w:t>
      </w:r>
    </w:p>
    <w:p w14:paraId="227B758E" w14:textId="45CCE331"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sz w:val="18"/>
          <w:szCs w:val="18"/>
        </w:rPr>
        <w:t>This Group Tax Code of Conduct outlines the principles setting out how our employees and representatives are expected to operate with respect to tax matters in support of the Group Tax Policy. Non</w:t>
      </w:r>
      <w:r w:rsidR="00CA61D6" w:rsidRPr="0077656D">
        <w:rPr>
          <w:rFonts w:eastAsiaTheme="minorHAnsi" w:cs="Arial"/>
          <w:sz w:val="18"/>
          <w:szCs w:val="18"/>
        </w:rPr>
        <w:t>-</w:t>
      </w:r>
      <w:r w:rsidRPr="0077656D">
        <w:rPr>
          <w:rFonts w:eastAsiaTheme="minorHAnsi" w:cs="Arial"/>
          <w:sz w:val="18"/>
          <w:szCs w:val="18"/>
        </w:rPr>
        <w:t xml:space="preserve">adherence could constitute a disciplinary matter, potentially leading to sanctions, including dismissal. The Group’s Tax Code of Conduct is set out in detail below. </w:t>
      </w:r>
    </w:p>
    <w:p w14:paraId="5FA0C877" w14:textId="77777777" w:rsidR="00CA61D6" w:rsidRPr="0077656D" w:rsidRDefault="00CA61D6" w:rsidP="00B23806">
      <w:pPr>
        <w:autoSpaceDE w:val="0"/>
        <w:autoSpaceDN w:val="0"/>
        <w:adjustRightInd w:val="0"/>
        <w:rPr>
          <w:rFonts w:eastAsiaTheme="minorHAnsi" w:cs="Arial"/>
          <w:b/>
          <w:bCs/>
          <w:sz w:val="18"/>
          <w:szCs w:val="18"/>
        </w:rPr>
      </w:pPr>
    </w:p>
    <w:p w14:paraId="75598713" w14:textId="4E9B1458"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b/>
          <w:bCs/>
          <w:sz w:val="18"/>
          <w:szCs w:val="18"/>
        </w:rPr>
        <w:t xml:space="preserve">1. Compliance with laws, rules and regulations </w:t>
      </w:r>
    </w:p>
    <w:p w14:paraId="069FD07A" w14:textId="27B5D5DB" w:rsidR="00B23806" w:rsidRPr="008B0908" w:rsidRDefault="00B23806" w:rsidP="00B23806">
      <w:pPr>
        <w:autoSpaceDE w:val="0"/>
        <w:autoSpaceDN w:val="0"/>
        <w:adjustRightInd w:val="0"/>
        <w:rPr>
          <w:rFonts w:eastAsiaTheme="minorHAnsi" w:cs="Arial"/>
          <w:sz w:val="18"/>
          <w:szCs w:val="18"/>
        </w:rPr>
      </w:pPr>
      <w:r w:rsidRPr="001750D3">
        <w:rPr>
          <w:rFonts w:eastAsiaTheme="minorHAnsi" w:cs="Arial"/>
          <w:sz w:val="18"/>
          <w:szCs w:val="18"/>
        </w:rPr>
        <w:t xml:space="preserve">The Group is committed to observing all applicable laws, rules, regulations, and reporting and disclosure requirements, wherever there is a requirement to do so </w:t>
      </w:r>
      <w:proofErr w:type="gramStart"/>
      <w:r w:rsidRPr="001750D3">
        <w:rPr>
          <w:rFonts w:eastAsiaTheme="minorHAnsi" w:cs="Arial"/>
          <w:sz w:val="18"/>
          <w:szCs w:val="18"/>
        </w:rPr>
        <w:t>as a result of</w:t>
      </w:r>
      <w:proofErr w:type="gramEnd"/>
      <w:r w:rsidRPr="001750D3">
        <w:rPr>
          <w:rFonts w:eastAsiaTheme="minorHAnsi" w:cs="Arial"/>
          <w:sz w:val="18"/>
          <w:szCs w:val="18"/>
        </w:rPr>
        <w:t xml:space="preserve"> our business presence and transactions.</w:t>
      </w:r>
      <w:r w:rsidR="00C8588B" w:rsidRPr="001750D3">
        <w:rPr>
          <w:rFonts w:eastAsiaTheme="minorHAnsi" w:cs="Arial"/>
          <w:sz w:val="18"/>
          <w:szCs w:val="18"/>
        </w:rPr>
        <w:t xml:space="preserve"> </w:t>
      </w:r>
      <w:r w:rsidR="008B0908" w:rsidRPr="00962106">
        <w:rPr>
          <w:rFonts w:eastAsiaTheme="minorHAnsi" w:cs="Arial"/>
          <w:sz w:val="18"/>
          <w:szCs w:val="18"/>
        </w:rPr>
        <w:t xml:space="preserve">The Group does not tolerate tax evasion or the facilitation of tax evasion by any of its employees or associates. The Group </w:t>
      </w:r>
      <w:r w:rsidR="003B27FD">
        <w:rPr>
          <w:rFonts w:eastAsiaTheme="minorHAnsi" w:cs="Arial"/>
          <w:sz w:val="18"/>
          <w:szCs w:val="18"/>
        </w:rPr>
        <w:t>recognises</w:t>
      </w:r>
      <w:r w:rsidR="008B0908" w:rsidRPr="00962106">
        <w:rPr>
          <w:rFonts w:eastAsiaTheme="minorHAnsi" w:cs="Arial"/>
          <w:sz w:val="18"/>
          <w:szCs w:val="18"/>
        </w:rPr>
        <w:t xml:space="preserve"> its responsibility under the Corporate Criminal Offence legislation and takes steps to profile and manage the risk of failing to prevent the facilitation of tax evasion</w:t>
      </w:r>
      <w:r w:rsidR="008B0908">
        <w:rPr>
          <w:rFonts w:eastAsiaTheme="minorHAnsi" w:cs="Arial"/>
          <w:sz w:val="18"/>
          <w:szCs w:val="18"/>
        </w:rPr>
        <w:t>.</w:t>
      </w:r>
      <w:r w:rsidR="008B0908">
        <w:rPr>
          <w:rFonts w:eastAsiaTheme="minorHAnsi" w:cs="Arial"/>
          <w:b/>
          <w:bCs/>
          <w:sz w:val="18"/>
          <w:szCs w:val="18"/>
        </w:rPr>
        <w:t xml:space="preserve"> </w:t>
      </w:r>
      <w:r w:rsidRPr="00722B2F">
        <w:rPr>
          <w:rFonts w:eastAsiaTheme="minorHAnsi" w:cs="Arial"/>
          <w:sz w:val="18"/>
          <w:szCs w:val="18"/>
        </w:rPr>
        <w:t xml:space="preserve">Regional and local finance teams, supported by </w:t>
      </w:r>
      <w:r w:rsidRPr="00174021">
        <w:rPr>
          <w:rFonts w:eastAsiaTheme="minorHAnsi" w:cs="Arial"/>
          <w:sz w:val="18"/>
          <w:szCs w:val="18"/>
        </w:rPr>
        <w:t xml:space="preserve">Group </w:t>
      </w:r>
      <w:r w:rsidR="006C77AD">
        <w:rPr>
          <w:rFonts w:eastAsiaTheme="minorHAnsi" w:cs="Arial"/>
          <w:sz w:val="18"/>
          <w:szCs w:val="18"/>
        </w:rPr>
        <w:t>Tax</w:t>
      </w:r>
      <w:r w:rsidRPr="00174021">
        <w:rPr>
          <w:rFonts w:eastAsiaTheme="minorHAnsi" w:cs="Arial"/>
          <w:sz w:val="18"/>
          <w:szCs w:val="18"/>
        </w:rPr>
        <w:t>,</w:t>
      </w:r>
      <w:r w:rsidRPr="00722B2F">
        <w:rPr>
          <w:rFonts w:eastAsiaTheme="minorHAnsi" w:cs="Arial"/>
          <w:sz w:val="18"/>
          <w:szCs w:val="18"/>
        </w:rPr>
        <w:t xml:space="preserve"> will collaborate with the Group’s businesses to provide advice and guidance necessary to ensure compliance, obtaining external advice where necessary.</w:t>
      </w:r>
    </w:p>
    <w:p w14:paraId="3452B41C" w14:textId="77777777" w:rsidR="002A72FB" w:rsidRPr="0077656D" w:rsidRDefault="002A72FB" w:rsidP="00B23806">
      <w:pPr>
        <w:autoSpaceDE w:val="0"/>
        <w:autoSpaceDN w:val="0"/>
        <w:adjustRightInd w:val="0"/>
        <w:rPr>
          <w:rFonts w:eastAsiaTheme="minorHAnsi" w:cs="Arial"/>
          <w:b/>
          <w:bCs/>
          <w:sz w:val="18"/>
          <w:szCs w:val="18"/>
        </w:rPr>
      </w:pPr>
    </w:p>
    <w:p w14:paraId="3C0D9370" w14:textId="36375798"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b/>
          <w:bCs/>
          <w:sz w:val="18"/>
          <w:szCs w:val="18"/>
        </w:rPr>
        <w:t xml:space="preserve">2. Consistency with Group strategy </w:t>
      </w:r>
    </w:p>
    <w:p w14:paraId="6FDE1596" w14:textId="77777777"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sz w:val="18"/>
          <w:szCs w:val="18"/>
        </w:rPr>
        <w:t xml:space="preserve">Tax decisions will be </w:t>
      </w:r>
      <w:proofErr w:type="gramStart"/>
      <w:r w:rsidRPr="0077656D">
        <w:rPr>
          <w:rFonts w:eastAsiaTheme="minorHAnsi" w:cs="Arial"/>
          <w:sz w:val="18"/>
          <w:szCs w:val="18"/>
        </w:rPr>
        <w:t>made at all times</w:t>
      </w:r>
      <w:proofErr w:type="gramEnd"/>
      <w:r w:rsidRPr="0077656D">
        <w:rPr>
          <w:rFonts w:eastAsiaTheme="minorHAnsi" w:cs="Arial"/>
          <w:sz w:val="18"/>
          <w:szCs w:val="18"/>
        </w:rPr>
        <w:t xml:space="preserve"> in a manner which are consistent with and complement the Group’s overall strategy. Key business decisions should be made having in mind the tax consequences thereof.</w:t>
      </w:r>
    </w:p>
    <w:p w14:paraId="5434305F" w14:textId="77777777" w:rsidR="00CA61D6" w:rsidRPr="0077656D" w:rsidRDefault="00CA61D6" w:rsidP="00B23806">
      <w:pPr>
        <w:autoSpaceDE w:val="0"/>
        <w:autoSpaceDN w:val="0"/>
        <w:adjustRightInd w:val="0"/>
        <w:rPr>
          <w:rFonts w:eastAsiaTheme="minorHAnsi" w:cs="Arial"/>
          <w:b/>
          <w:bCs/>
          <w:sz w:val="18"/>
          <w:szCs w:val="18"/>
        </w:rPr>
      </w:pPr>
    </w:p>
    <w:p w14:paraId="35EF1CE5" w14:textId="16EB193E"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b/>
          <w:bCs/>
          <w:sz w:val="18"/>
          <w:szCs w:val="18"/>
        </w:rPr>
        <w:t xml:space="preserve">3. Governance, Assurance and Tax Risk Management </w:t>
      </w:r>
    </w:p>
    <w:p w14:paraId="31344B58" w14:textId="2B31E939"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sz w:val="18"/>
          <w:szCs w:val="18"/>
        </w:rPr>
        <w:t>Responsibility and accountability for the Group’s tax affairs is clearly defined, and decisions will be taken at an appropriate level, determined by the Group</w:t>
      </w:r>
      <w:r w:rsidR="00C8588B">
        <w:rPr>
          <w:rFonts w:eastAsiaTheme="minorHAnsi" w:cs="Arial"/>
          <w:sz w:val="18"/>
          <w:szCs w:val="18"/>
        </w:rPr>
        <w:t>’s Authorities to Act</w:t>
      </w:r>
      <w:r w:rsidRPr="0077656D">
        <w:rPr>
          <w:rFonts w:eastAsiaTheme="minorHAnsi" w:cs="Arial"/>
          <w:sz w:val="18"/>
          <w:szCs w:val="18"/>
        </w:rPr>
        <w:t xml:space="preserve">. Diligent professional care and judgement will be employed to assess tax risks </w:t>
      </w:r>
      <w:proofErr w:type="gramStart"/>
      <w:r w:rsidRPr="0077656D">
        <w:rPr>
          <w:rFonts w:eastAsiaTheme="minorHAnsi" w:cs="Arial"/>
          <w:sz w:val="18"/>
          <w:szCs w:val="18"/>
        </w:rPr>
        <w:t>in order to</w:t>
      </w:r>
      <w:proofErr w:type="gramEnd"/>
      <w:r w:rsidRPr="0077656D">
        <w:rPr>
          <w:rFonts w:eastAsiaTheme="minorHAnsi" w:cs="Arial"/>
          <w:sz w:val="18"/>
          <w:szCs w:val="18"/>
        </w:rPr>
        <w:t xml:space="preserve"> arrive at </w:t>
      </w:r>
      <w:r w:rsidR="00A7395C" w:rsidRPr="0077656D">
        <w:rPr>
          <w:rFonts w:eastAsiaTheme="minorHAnsi" w:cs="Arial"/>
          <w:sz w:val="18"/>
          <w:szCs w:val="18"/>
        </w:rPr>
        <w:t>well-reasoned</w:t>
      </w:r>
      <w:r w:rsidRPr="0077656D">
        <w:rPr>
          <w:rFonts w:eastAsiaTheme="minorHAnsi" w:cs="Arial"/>
          <w:sz w:val="18"/>
          <w:szCs w:val="18"/>
        </w:rPr>
        <w:t xml:space="preserve"> conclusions on how the risks should be managed. Where there is uncertainty as to the application or interpretation of tax law, appropriate written advice evidencing the facts, risks and conclusions may be taken from third party advisers to support the decision-making process. </w:t>
      </w:r>
    </w:p>
    <w:p w14:paraId="51608F09" w14:textId="77777777" w:rsidR="00331390" w:rsidRDefault="00331390" w:rsidP="00B23806">
      <w:pPr>
        <w:autoSpaceDE w:val="0"/>
        <w:autoSpaceDN w:val="0"/>
        <w:adjustRightInd w:val="0"/>
        <w:rPr>
          <w:rFonts w:eastAsiaTheme="minorHAnsi" w:cs="Arial"/>
          <w:sz w:val="18"/>
          <w:szCs w:val="18"/>
        </w:rPr>
      </w:pPr>
    </w:p>
    <w:p w14:paraId="3E3B33C1" w14:textId="7226B0FB"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sz w:val="18"/>
          <w:szCs w:val="18"/>
        </w:rPr>
        <w:t xml:space="preserve">In reviewing the risks of a tax action or decision, always bearing in mind the requirements of the Group Tax Policy, the following would be considered: </w:t>
      </w:r>
    </w:p>
    <w:p w14:paraId="4299E5A3" w14:textId="77777777" w:rsidR="0038087D" w:rsidRPr="0077656D" w:rsidRDefault="00B23806" w:rsidP="00B23806">
      <w:pPr>
        <w:pStyle w:val="ListParagraph"/>
        <w:numPr>
          <w:ilvl w:val="0"/>
          <w:numId w:val="4"/>
        </w:numPr>
        <w:autoSpaceDE w:val="0"/>
        <w:autoSpaceDN w:val="0"/>
        <w:adjustRightInd w:val="0"/>
        <w:spacing w:after="60"/>
        <w:rPr>
          <w:rFonts w:eastAsiaTheme="minorHAnsi" w:cs="Arial"/>
          <w:sz w:val="18"/>
          <w:szCs w:val="18"/>
        </w:rPr>
      </w:pPr>
      <w:r w:rsidRPr="0077656D">
        <w:rPr>
          <w:rFonts w:eastAsiaTheme="minorHAnsi" w:cs="Arial"/>
          <w:sz w:val="18"/>
          <w:szCs w:val="18"/>
        </w:rPr>
        <w:t xml:space="preserve">the legal and fiduciary duties of directors and employees </w:t>
      </w:r>
    </w:p>
    <w:p w14:paraId="4FAB2E6B" w14:textId="49EF5732" w:rsidR="0038087D" w:rsidRPr="0077656D" w:rsidRDefault="00B23806" w:rsidP="00B23806">
      <w:pPr>
        <w:pStyle w:val="ListParagraph"/>
        <w:numPr>
          <w:ilvl w:val="0"/>
          <w:numId w:val="4"/>
        </w:numPr>
        <w:autoSpaceDE w:val="0"/>
        <w:autoSpaceDN w:val="0"/>
        <w:adjustRightInd w:val="0"/>
        <w:spacing w:after="60"/>
        <w:rPr>
          <w:rFonts w:eastAsiaTheme="minorHAnsi" w:cs="Arial"/>
          <w:sz w:val="18"/>
          <w:szCs w:val="18"/>
        </w:rPr>
      </w:pPr>
      <w:r w:rsidRPr="0077656D">
        <w:rPr>
          <w:rFonts w:eastAsiaTheme="minorHAnsi" w:cs="Arial"/>
          <w:sz w:val="18"/>
          <w:szCs w:val="18"/>
        </w:rPr>
        <w:t xml:space="preserve">the requirements of our </w:t>
      </w:r>
      <w:r w:rsidRPr="00174021">
        <w:rPr>
          <w:rFonts w:eastAsiaTheme="minorHAnsi" w:cs="Arial"/>
          <w:sz w:val="18"/>
          <w:szCs w:val="18"/>
        </w:rPr>
        <w:t xml:space="preserve">Group </w:t>
      </w:r>
      <w:r w:rsidR="006C77AD" w:rsidRPr="00174021">
        <w:rPr>
          <w:rFonts w:eastAsiaTheme="minorHAnsi" w:cs="Arial"/>
          <w:sz w:val="18"/>
          <w:szCs w:val="18"/>
        </w:rPr>
        <w:t xml:space="preserve">Purpose </w:t>
      </w:r>
      <w:r w:rsidRPr="0077656D">
        <w:rPr>
          <w:rFonts w:eastAsiaTheme="minorHAnsi" w:cs="Arial"/>
          <w:sz w:val="18"/>
          <w:szCs w:val="18"/>
        </w:rPr>
        <w:t>and relevant policies, such as the Group</w:t>
      </w:r>
      <w:r w:rsidR="00EA05D4">
        <w:rPr>
          <w:rFonts w:eastAsiaTheme="minorHAnsi" w:cs="Arial"/>
          <w:sz w:val="18"/>
          <w:szCs w:val="18"/>
        </w:rPr>
        <w:t xml:space="preserve"> Code of </w:t>
      </w:r>
      <w:r w:rsidR="00D666FF">
        <w:rPr>
          <w:rFonts w:eastAsiaTheme="minorHAnsi" w:cs="Arial"/>
          <w:sz w:val="18"/>
          <w:szCs w:val="18"/>
        </w:rPr>
        <w:t xml:space="preserve">Conduct and Code of </w:t>
      </w:r>
      <w:r w:rsidR="00EA05D4">
        <w:rPr>
          <w:rFonts w:eastAsiaTheme="minorHAnsi" w:cs="Arial"/>
          <w:sz w:val="18"/>
          <w:szCs w:val="18"/>
        </w:rPr>
        <w:t>Ethic</w:t>
      </w:r>
      <w:r w:rsidR="00D666FF">
        <w:rPr>
          <w:rFonts w:eastAsiaTheme="minorHAnsi" w:cs="Arial"/>
          <w:sz w:val="18"/>
          <w:szCs w:val="18"/>
        </w:rPr>
        <w:t>s</w:t>
      </w:r>
    </w:p>
    <w:p w14:paraId="65972DEC" w14:textId="77777777" w:rsidR="0038087D" w:rsidRPr="0077656D" w:rsidRDefault="00B23806" w:rsidP="00B23806">
      <w:pPr>
        <w:pStyle w:val="ListParagraph"/>
        <w:numPr>
          <w:ilvl w:val="0"/>
          <w:numId w:val="4"/>
        </w:numPr>
        <w:autoSpaceDE w:val="0"/>
        <w:autoSpaceDN w:val="0"/>
        <w:adjustRightInd w:val="0"/>
        <w:spacing w:after="60"/>
        <w:rPr>
          <w:rFonts w:eastAsiaTheme="minorHAnsi" w:cs="Arial"/>
          <w:sz w:val="18"/>
          <w:szCs w:val="18"/>
        </w:rPr>
      </w:pPr>
      <w:r w:rsidRPr="0077656D">
        <w:rPr>
          <w:rFonts w:eastAsiaTheme="minorHAnsi" w:cs="Arial"/>
          <w:sz w:val="18"/>
          <w:szCs w:val="18"/>
        </w:rPr>
        <w:lastRenderedPageBreak/>
        <w:t xml:space="preserve">the maintenance of corporate reputation, having </w:t>
      </w:r>
      <w:proofErr w:type="gramStart"/>
      <w:r w:rsidRPr="0077656D">
        <w:rPr>
          <w:rFonts w:eastAsiaTheme="minorHAnsi" w:cs="Arial"/>
          <w:sz w:val="18"/>
          <w:szCs w:val="18"/>
        </w:rPr>
        <w:t>particular regard</w:t>
      </w:r>
      <w:proofErr w:type="gramEnd"/>
      <w:r w:rsidRPr="0077656D">
        <w:rPr>
          <w:rFonts w:eastAsiaTheme="minorHAnsi" w:cs="Arial"/>
          <w:sz w:val="18"/>
          <w:szCs w:val="18"/>
        </w:rPr>
        <w:t xml:space="preserve"> to the principles embodied in the Group’s </w:t>
      </w:r>
      <w:r w:rsidRPr="009B4941">
        <w:rPr>
          <w:rFonts w:eastAsiaTheme="minorHAnsi" w:cs="Arial"/>
          <w:sz w:val="18"/>
          <w:szCs w:val="18"/>
        </w:rPr>
        <w:t>CSR</w:t>
      </w:r>
      <w:r w:rsidRPr="0077656D">
        <w:rPr>
          <w:rFonts w:eastAsiaTheme="minorHAnsi" w:cs="Arial"/>
          <w:sz w:val="18"/>
          <w:szCs w:val="18"/>
        </w:rPr>
        <w:t xml:space="preserve"> policy regarding the way we interact with the communities around us </w:t>
      </w:r>
    </w:p>
    <w:p w14:paraId="74BD4022" w14:textId="6C917A85" w:rsidR="00BB6FE0" w:rsidRDefault="00086C65" w:rsidP="00B23806">
      <w:pPr>
        <w:pStyle w:val="ListParagraph"/>
        <w:numPr>
          <w:ilvl w:val="0"/>
          <w:numId w:val="4"/>
        </w:numPr>
        <w:autoSpaceDE w:val="0"/>
        <w:autoSpaceDN w:val="0"/>
        <w:adjustRightInd w:val="0"/>
        <w:spacing w:after="60"/>
        <w:rPr>
          <w:rFonts w:eastAsiaTheme="minorHAnsi" w:cs="Arial"/>
          <w:sz w:val="18"/>
          <w:szCs w:val="18"/>
        </w:rPr>
      </w:pPr>
      <w:r>
        <w:rPr>
          <w:rFonts w:eastAsiaTheme="minorHAnsi" w:cs="Arial"/>
          <w:color w:val="000000"/>
          <w:sz w:val="18"/>
          <w:szCs w:val="18"/>
        </w:rPr>
        <w:t>the maintenance of</w:t>
      </w:r>
      <w:r w:rsidR="0039221C">
        <w:rPr>
          <w:rFonts w:eastAsiaTheme="minorHAnsi" w:cs="Arial"/>
          <w:color w:val="000000"/>
          <w:sz w:val="18"/>
          <w:szCs w:val="18"/>
        </w:rPr>
        <w:t xml:space="preserve"> </w:t>
      </w:r>
      <w:r w:rsidR="00BB6FE0" w:rsidRPr="00065E2C">
        <w:rPr>
          <w:rFonts w:eastAsiaTheme="minorHAnsi" w:cs="Arial"/>
          <w:color w:val="000000"/>
          <w:sz w:val="18"/>
          <w:szCs w:val="18"/>
        </w:rPr>
        <w:t>transfer pricing policy on arm’s length principle</w:t>
      </w:r>
      <w:r w:rsidR="00BB6FE0">
        <w:rPr>
          <w:rFonts w:eastAsiaTheme="minorHAnsi" w:cs="Arial"/>
          <w:color w:val="000000"/>
          <w:sz w:val="18"/>
          <w:szCs w:val="18"/>
        </w:rPr>
        <w:t>,</w:t>
      </w:r>
      <w:r w:rsidR="004B1EA0">
        <w:rPr>
          <w:rFonts w:eastAsiaTheme="minorHAnsi" w:cs="Arial"/>
          <w:color w:val="000000"/>
          <w:sz w:val="18"/>
          <w:szCs w:val="18"/>
        </w:rPr>
        <w:t xml:space="preserve"> </w:t>
      </w:r>
      <w:r>
        <w:rPr>
          <w:rFonts w:eastAsiaTheme="minorHAnsi" w:cs="Arial"/>
          <w:color w:val="000000"/>
          <w:sz w:val="18"/>
          <w:szCs w:val="18"/>
        </w:rPr>
        <w:t xml:space="preserve">and </w:t>
      </w:r>
      <w:r w:rsidR="00BB6FE0" w:rsidRPr="00065E2C">
        <w:rPr>
          <w:rFonts w:eastAsiaTheme="minorHAnsi" w:cs="Arial"/>
          <w:color w:val="000000"/>
          <w:sz w:val="18"/>
          <w:szCs w:val="18"/>
        </w:rPr>
        <w:t xml:space="preserve">in line with </w:t>
      </w:r>
      <w:r w:rsidR="004B1EA0">
        <w:rPr>
          <w:rFonts w:eastAsiaTheme="minorHAnsi" w:cs="Arial"/>
          <w:color w:val="000000"/>
          <w:sz w:val="18"/>
          <w:szCs w:val="18"/>
        </w:rPr>
        <w:t xml:space="preserve">the relevant </w:t>
      </w:r>
      <w:r w:rsidR="00BB6FE0" w:rsidRPr="00065E2C">
        <w:rPr>
          <w:rFonts w:eastAsiaTheme="minorHAnsi" w:cs="Arial"/>
          <w:color w:val="000000"/>
          <w:sz w:val="18"/>
          <w:szCs w:val="18"/>
        </w:rPr>
        <w:t>OECD guidelines</w:t>
      </w:r>
    </w:p>
    <w:p w14:paraId="5D8990BA" w14:textId="5809382F" w:rsidR="0038087D" w:rsidRPr="0077656D" w:rsidRDefault="00B23806" w:rsidP="00B23806">
      <w:pPr>
        <w:pStyle w:val="ListParagraph"/>
        <w:numPr>
          <w:ilvl w:val="0"/>
          <w:numId w:val="4"/>
        </w:numPr>
        <w:autoSpaceDE w:val="0"/>
        <w:autoSpaceDN w:val="0"/>
        <w:adjustRightInd w:val="0"/>
        <w:spacing w:after="60"/>
        <w:rPr>
          <w:rFonts w:eastAsiaTheme="minorHAnsi" w:cs="Arial"/>
          <w:sz w:val="18"/>
          <w:szCs w:val="18"/>
        </w:rPr>
      </w:pPr>
      <w:r w:rsidRPr="0077656D">
        <w:rPr>
          <w:rFonts w:eastAsiaTheme="minorHAnsi" w:cs="Arial"/>
          <w:sz w:val="18"/>
          <w:szCs w:val="18"/>
        </w:rPr>
        <w:t>the tax benefits and impact on the Group’s reported result</w:t>
      </w:r>
      <w:r w:rsidR="00BB6FE0">
        <w:rPr>
          <w:rFonts w:eastAsiaTheme="minorHAnsi" w:cs="Arial"/>
          <w:sz w:val="18"/>
          <w:szCs w:val="18"/>
        </w:rPr>
        <w:t>s</w:t>
      </w:r>
      <w:r w:rsidRPr="0077656D">
        <w:rPr>
          <w:rFonts w:eastAsiaTheme="minorHAnsi" w:cs="Arial"/>
          <w:sz w:val="18"/>
          <w:szCs w:val="18"/>
        </w:rPr>
        <w:t xml:space="preserve"> relative to the potential financial costs involved, including the risk of penalties and interest </w:t>
      </w:r>
    </w:p>
    <w:p w14:paraId="1950D741" w14:textId="3D7F73C8" w:rsidR="00B23806" w:rsidRPr="0077656D" w:rsidRDefault="00B23806" w:rsidP="00B23806">
      <w:pPr>
        <w:pStyle w:val="ListParagraph"/>
        <w:numPr>
          <w:ilvl w:val="0"/>
          <w:numId w:val="4"/>
        </w:numPr>
        <w:autoSpaceDE w:val="0"/>
        <w:autoSpaceDN w:val="0"/>
        <w:adjustRightInd w:val="0"/>
        <w:spacing w:after="60"/>
        <w:rPr>
          <w:rFonts w:eastAsiaTheme="minorHAnsi" w:cs="Arial"/>
          <w:sz w:val="18"/>
          <w:szCs w:val="18"/>
        </w:rPr>
      </w:pPr>
      <w:r w:rsidRPr="0077656D">
        <w:rPr>
          <w:rFonts w:eastAsiaTheme="minorHAnsi" w:cs="Arial"/>
          <w:sz w:val="18"/>
          <w:szCs w:val="18"/>
        </w:rPr>
        <w:t xml:space="preserve">the wider consequences of potential disagreement with tax authorities, and any possible impact on relationships with them. </w:t>
      </w:r>
    </w:p>
    <w:p w14:paraId="724A21E0" w14:textId="77777777" w:rsidR="00954932" w:rsidRPr="0077656D" w:rsidRDefault="00954932" w:rsidP="00B23806">
      <w:pPr>
        <w:autoSpaceDE w:val="0"/>
        <w:autoSpaceDN w:val="0"/>
        <w:adjustRightInd w:val="0"/>
        <w:rPr>
          <w:rFonts w:eastAsiaTheme="minorHAnsi" w:cs="Arial"/>
          <w:sz w:val="18"/>
          <w:szCs w:val="18"/>
        </w:rPr>
      </w:pPr>
    </w:p>
    <w:p w14:paraId="4D5E93E2" w14:textId="01821DF2" w:rsidR="00B23806" w:rsidRPr="0077656D" w:rsidRDefault="00B23806" w:rsidP="00B23806">
      <w:pPr>
        <w:autoSpaceDE w:val="0"/>
        <w:autoSpaceDN w:val="0"/>
        <w:adjustRightInd w:val="0"/>
        <w:rPr>
          <w:rFonts w:eastAsiaTheme="minorHAnsi" w:cs="Arial"/>
          <w:sz w:val="18"/>
          <w:szCs w:val="18"/>
        </w:rPr>
      </w:pPr>
      <w:r w:rsidRPr="0077656D">
        <w:rPr>
          <w:rFonts w:eastAsiaTheme="minorHAnsi" w:cs="Arial"/>
          <w:sz w:val="18"/>
          <w:szCs w:val="18"/>
        </w:rPr>
        <w:t>Group Tax will employ various risk management processes and systems to provide assurance that the requirements of the Group Tax Policy are being met. This will include compliance and risk monitoring systems and internal audit reviews of tax compliance activity across the Group.</w:t>
      </w:r>
    </w:p>
    <w:p w14:paraId="2DE0E169" w14:textId="77777777" w:rsidR="006418ED" w:rsidRPr="0077656D" w:rsidRDefault="006418ED" w:rsidP="00B23806">
      <w:pPr>
        <w:autoSpaceDE w:val="0"/>
        <w:autoSpaceDN w:val="0"/>
        <w:adjustRightInd w:val="0"/>
        <w:rPr>
          <w:rFonts w:eastAsiaTheme="minorHAnsi" w:cs="Arial"/>
          <w:b/>
          <w:bCs/>
          <w:color w:val="000000"/>
          <w:sz w:val="18"/>
          <w:szCs w:val="18"/>
        </w:rPr>
      </w:pPr>
    </w:p>
    <w:p w14:paraId="405C1294" w14:textId="1F94CB5C" w:rsidR="00B23806" w:rsidRPr="0077656D" w:rsidRDefault="00B23806" w:rsidP="00B23806">
      <w:pPr>
        <w:autoSpaceDE w:val="0"/>
        <w:autoSpaceDN w:val="0"/>
        <w:adjustRightInd w:val="0"/>
        <w:rPr>
          <w:rFonts w:eastAsiaTheme="minorHAnsi" w:cs="Arial"/>
          <w:color w:val="000000"/>
          <w:sz w:val="18"/>
          <w:szCs w:val="18"/>
        </w:rPr>
      </w:pPr>
      <w:r w:rsidRPr="0077656D">
        <w:rPr>
          <w:rFonts w:eastAsiaTheme="minorHAnsi" w:cs="Arial"/>
          <w:b/>
          <w:bCs/>
          <w:color w:val="000000"/>
          <w:sz w:val="18"/>
          <w:szCs w:val="18"/>
        </w:rPr>
        <w:t xml:space="preserve">4. Relationships with tax authorities </w:t>
      </w:r>
    </w:p>
    <w:p w14:paraId="27418A90" w14:textId="77777777" w:rsidR="00B23806" w:rsidRPr="0077656D" w:rsidRDefault="00B23806" w:rsidP="00B23806">
      <w:pPr>
        <w:autoSpaceDE w:val="0"/>
        <w:autoSpaceDN w:val="0"/>
        <w:adjustRightInd w:val="0"/>
        <w:rPr>
          <w:rFonts w:eastAsiaTheme="minorHAnsi" w:cs="Arial"/>
          <w:color w:val="000000"/>
          <w:sz w:val="18"/>
          <w:szCs w:val="18"/>
        </w:rPr>
      </w:pPr>
      <w:r w:rsidRPr="0077656D">
        <w:rPr>
          <w:rFonts w:eastAsiaTheme="minorHAnsi" w:cs="Arial"/>
          <w:color w:val="000000"/>
          <w:sz w:val="18"/>
          <w:szCs w:val="18"/>
        </w:rPr>
        <w:t xml:space="preserve">The Group is committed to the principles of openness and transparency in its approach to dealing with tax authorities wherever we operate. All dealings with the tax authorities and other relevant bodies will be conducted in a collaborative, courteous and timely manner. We strive for early agreement on disputed matters, and to achieve certainty wherever possible, including the obtaining of pre-transaction clearances where appropriate. </w:t>
      </w:r>
    </w:p>
    <w:p w14:paraId="121B80A2" w14:textId="77777777" w:rsidR="0038087D" w:rsidRPr="0077656D" w:rsidRDefault="0038087D" w:rsidP="00B23806">
      <w:pPr>
        <w:autoSpaceDE w:val="0"/>
        <w:autoSpaceDN w:val="0"/>
        <w:adjustRightInd w:val="0"/>
        <w:rPr>
          <w:rFonts w:eastAsiaTheme="minorHAnsi" w:cs="Arial"/>
          <w:b/>
          <w:bCs/>
          <w:color w:val="000000"/>
          <w:sz w:val="18"/>
          <w:szCs w:val="18"/>
        </w:rPr>
      </w:pPr>
    </w:p>
    <w:p w14:paraId="186D8524" w14:textId="00CB4B7C" w:rsidR="00B23806" w:rsidRPr="0077656D" w:rsidRDefault="00B23806" w:rsidP="00B23806">
      <w:pPr>
        <w:autoSpaceDE w:val="0"/>
        <w:autoSpaceDN w:val="0"/>
        <w:adjustRightInd w:val="0"/>
        <w:rPr>
          <w:rFonts w:eastAsiaTheme="minorHAnsi" w:cs="Arial"/>
          <w:color w:val="000000"/>
          <w:sz w:val="18"/>
          <w:szCs w:val="18"/>
        </w:rPr>
      </w:pPr>
      <w:r w:rsidRPr="0077656D">
        <w:rPr>
          <w:rFonts w:eastAsiaTheme="minorHAnsi" w:cs="Arial"/>
          <w:b/>
          <w:bCs/>
          <w:color w:val="000000"/>
          <w:sz w:val="18"/>
          <w:szCs w:val="18"/>
        </w:rPr>
        <w:t xml:space="preserve">5. Incentives and reliefs </w:t>
      </w:r>
    </w:p>
    <w:p w14:paraId="3C996CDA" w14:textId="7E5A50E8" w:rsidR="00B23806" w:rsidRPr="0077656D" w:rsidRDefault="00B23806" w:rsidP="00B23806">
      <w:pPr>
        <w:autoSpaceDE w:val="0"/>
        <w:autoSpaceDN w:val="0"/>
        <w:adjustRightInd w:val="0"/>
        <w:rPr>
          <w:rFonts w:eastAsiaTheme="minorHAnsi" w:cs="Arial"/>
          <w:color w:val="000000"/>
          <w:sz w:val="18"/>
          <w:szCs w:val="18"/>
        </w:rPr>
      </w:pPr>
      <w:r w:rsidRPr="0077656D">
        <w:rPr>
          <w:rFonts w:eastAsiaTheme="minorHAnsi" w:cs="Arial"/>
          <w:color w:val="000000"/>
          <w:sz w:val="18"/>
          <w:szCs w:val="18"/>
        </w:rPr>
        <w:t xml:space="preserve">The Group believes that it should pay the amounts of tax legally due in any territory. There will, however, be circumstances where this amount may not be clearly defined, or where alternative approaches may result in differing tax outcomes. </w:t>
      </w:r>
      <w:r w:rsidRPr="00174021">
        <w:rPr>
          <w:rFonts w:eastAsiaTheme="minorHAnsi" w:cs="Arial"/>
          <w:color w:val="000000"/>
          <w:sz w:val="18"/>
          <w:szCs w:val="18"/>
        </w:rPr>
        <w:t xml:space="preserve">The Group will use </w:t>
      </w:r>
      <w:r w:rsidR="001F7ABC" w:rsidRPr="00174021">
        <w:rPr>
          <w:rFonts w:eastAsiaTheme="minorHAnsi" w:cs="Arial"/>
          <w:color w:val="000000"/>
          <w:sz w:val="18"/>
          <w:szCs w:val="18"/>
        </w:rPr>
        <w:t>a considered approach</w:t>
      </w:r>
      <w:r w:rsidRPr="00174021">
        <w:rPr>
          <w:rFonts w:eastAsiaTheme="minorHAnsi" w:cs="Arial"/>
          <w:color w:val="000000"/>
          <w:sz w:val="18"/>
          <w:szCs w:val="18"/>
        </w:rPr>
        <w:t xml:space="preserve"> </w:t>
      </w:r>
      <w:r w:rsidRPr="009200FC">
        <w:rPr>
          <w:rFonts w:eastAsiaTheme="minorHAnsi" w:cs="Arial"/>
          <w:color w:val="000000"/>
          <w:sz w:val="18"/>
          <w:szCs w:val="18"/>
        </w:rPr>
        <w:t>in determining the appropriate course of action, using available reliefs and incentives where possible.</w:t>
      </w:r>
      <w:r w:rsidRPr="0077656D">
        <w:rPr>
          <w:rFonts w:eastAsiaTheme="minorHAnsi" w:cs="Arial"/>
          <w:color w:val="000000"/>
          <w:sz w:val="18"/>
          <w:szCs w:val="18"/>
        </w:rPr>
        <w:t xml:space="preserve"> </w:t>
      </w:r>
    </w:p>
    <w:p w14:paraId="1BA8D78F" w14:textId="77777777" w:rsidR="00A017F3" w:rsidRPr="00A017F3" w:rsidRDefault="00A017F3" w:rsidP="00B23806">
      <w:pPr>
        <w:autoSpaceDE w:val="0"/>
        <w:autoSpaceDN w:val="0"/>
        <w:adjustRightInd w:val="0"/>
        <w:rPr>
          <w:rFonts w:eastAsiaTheme="minorHAnsi" w:cs="Arial"/>
          <w:color w:val="000000"/>
          <w:sz w:val="18"/>
          <w:szCs w:val="18"/>
        </w:rPr>
      </w:pPr>
    </w:p>
    <w:p w14:paraId="64F1B891" w14:textId="0FBBD7FB" w:rsidR="00B23806" w:rsidRPr="0077656D" w:rsidRDefault="00B23806" w:rsidP="00B23806">
      <w:pPr>
        <w:autoSpaceDE w:val="0"/>
        <w:autoSpaceDN w:val="0"/>
        <w:adjustRightInd w:val="0"/>
        <w:rPr>
          <w:rFonts w:eastAsiaTheme="minorHAnsi" w:cs="Arial"/>
          <w:color w:val="000000"/>
          <w:sz w:val="18"/>
          <w:szCs w:val="18"/>
        </w:rPr>
      </w:pPr>
      <w:r w:rsidRPr="0077656D">
        <w:rPr>
          <w:rFonts w:eastAsiaTheme="minorHAnsi" w:cs="Arial"/>
          <w:b/>
          <w:bCs/>
          <w:color w:val="000000"/>
          <w:sz w:val="18"/>
          <w:szCs w:val="18"/>
        </w:rPr>
        <w:t xml:space="preserve">6. UK context </w:t>
      </w:r>
    </w:p>
    <w:p w14:paraId="2842768F" w14:textId="17EBD016" w:rsidR="00B23806" w:rsidRPr="0077656D" w:rsidRDefault="003A1E60" w:rsidP="00B23806">
      <w:pPr>
        <w:autoSpaceDE w:val="0"/>
        <w:autoSpaceDN w:val="0"/>
        <w:adjustRightInd w:val="0"/>
        <w:rPr>
          <w:rFonts w:eastAsiaTheme="minorHAnsi" w:cs="Arial"/>
          <w:color w:val="000000"/>
          <w:sz w:val="18"/>
          <w:szCs w:val="18"/>
        </w:rPr>
      </w:pPr>
      <w:r>
        <w:rPr>
          <w:rFonts w:eastAsiaTheme="minorHAnsi" w:cs="Arial"/>
          <w:color w:val="000000"/>
          <w:sz w:val="18"/>
          <w:szCs w:val="18"/>
        </w:rPr>
        <w:t>T</w:t>
      </w:r>
      <w:r w:rsidR="00B23806" w:rsidRPr="0077656D">
        <w:rPr>
          <w:rFonts w:eastAsiaTheme="minorHAnsi" w:cs="Arial"/>
          <w:color w:val="000000"/>
          <w:sz w:val="18"/>
          <w:szCs w:val="18"/>
        </w:rPr>
        <w:t>he Group commits to:</w:t>
      </w:r>
    </w:p>
    <w:p w14:paraId="18CB044C" w14:textId="77777777" w:rsidR="00B23806" w:rsidRPr="0077656D" w:rsidRDefault="00B23806" w:rsidP="00B23806">
      <w:pPr>
        <w:autoSpaceDE w:val="0"/>
        <w:autoSpaceDN w:val="0"/>
        <w:adjustRightInd w:val="0"/>
        <w:rPr>
          <w:rFonts w:eastAsiaTheme="minorHAnsi" w:cs="Arial"/>
          <w:color w:val="000000"/>
          <w:sz w:val="18"/>
          <w:szCs w:val="18"/>
        </w:rPr>
      </w:pPr>
    </w:p>
    <w:p w14:paraId="0206A284" w14:textId="77777777" w:rsidR="0038087D" w:rsidRPr="0077656D" w:rsidRDefault="00B23806" w:rsidP="00B23806">
      <w:pPr>
        <w:pStyle w:val="ListParagraph"/>
        <w:numPr>
          <w:ilvl w:val="0"/>
          <w:numId w:val="5"/>
        </w:numPr>
        <w:autoSpaceDE w:val="0"/>
        <w:autoSpaceDN w:val="0"/>
        <w:adjustRightInd w:val="0"/>
        <w:spacing w:after="60"/>
        <w:rPr>
          <w:rFonts w:eastAsiaTheme="minorHAnsi" w:cs="Arial"/>
          <w:color w:val="000000"/>
          <w:sz w:val="18"/>
          <w:szCs w:val="18"/>
        </w:rPr>
      </w:pPr>
      <w:proofErr w:type="gramStart"/>
      <w:r w:rsidRPr="0077656D">
        <w:rPr>
          <w:rFonts w:eastAsiaTheme="minorHAnsi" w:cs="Arial"/>
          <w:color w:val="000000"/>
          <w:sz w:val="18"/>
          <w:szCs w:val="18"/>
        </w:rPr>
        <w:t>adopt open and collaborative professional relationships at all times</w:t>
      </w:r>
      <w:proofErr w:type="gramEnd"/>
      <w:r w:rsidRPr="0077656D">
        <w:rPr>
          <w:rFonts w:eastAsiaTheme="minorHAnsi" w:cs="Arial"/>
          <w:color w:val="000000"/>
          <w:sz w:val="18"/>
          <w:szCs w:val="18"/>
        </w:rPr>
        <w:t xml:space="preserve"> with HMRC; </w:t>
      </w:r>
    </w:p>
    <w:p w14:paraId="72A25677" w14:textId="77777777" w:rsidR="009A0110" w:rsidRPr="0077656D" w:rsidRDefault="00B23806" w:rsidP="00B23806">
      <w:pPr>
        <w:pStyle w:val="ListParagraph"/>
        <w:numPr>
          <w:ilvl w:val="0"/>
          <w:numId w:val="5"/>
        </w:numPr>
        <w:autoSpaceDE w:val="0"/>
        <w:autoSpaceDN w:val="0"/>
        <w:adjustRightInd w:val="0"/>
        <w:spacing w:after="60"/>
        <w:rPr>
          <w:rFonts w:eastAsiaTheme="minorHAnsi" w:cs="Arial"/>
          <w:color w:val="000000"/>
          <w:sz w:val="18"/>
          <w:szCs w:val="18"/>
        </w:rPr>
      </w:pPr>
      <w:r w:rsidRPr="0077656D">
        <w:rPr>
          <w:rFonts w:eastAsiaTheme="minorHAnsi" w:cs="Arial"/>
          <w:color w:val="000000"/>
          <w:sz w:val="18"/>
          <w:szCs w:val="18"/>
        </w:rPr>
        <w:t>engage in full, open and early dialogue with HMRC to discuss tax planning, strategy, risks and significant transactions;</w:t>
      </w:r>
    </w:p>
    <w:p w14:paraId="54C82777" w14:textId="1D38CF0D" w:rsidR="009A0110" w:rsidRPr="0077656D" w:rsidRDefault="00B23806" w:rsidP="009A0110">
      <w:pPr>
        <w:pStyle w:val="ListParagraph"/>
        <w:numPr>
          <w:ilvl w:val="0"/>
          <w:numId w:val="5"/>
        </w:numPr>
        <w:autoSpaceDE w:val="0"/>
        <w:autoSpaceDN w:val="0"/>
        <w:adjustRightInd w:val="0"/>
        <w:spacing w:after="60"/>
        <w:rPr>
          <w:rFonts w:eastAsiaTheme="minorHAnsi" w:cs="Arial"/>
          <w:color w:val="000000"/>
          <w:sz w:val="18"/>
          <w:szCs w:val="18"/>
        </w:rPr>
      </w:pPr>
      <w:r w:rsidRPr="0077656D">
        <w:rPr>
          <w:rFonts w:eastAsiaTheme="minorHAnsi" w:cs="Arial"/>
          <w:color w:val="000000"/>
          <w:sz w:val="18"/>
          <w:szCs w:val="18"/>
        </w:rPr>
        <w:t xml:space="preserve">make fair, accurate and timely disclosure in correspondence and returns, and respond to queries and information requests in a timely fashion; </w:t>
      </w:r>
    </w:p>
    <w:p w14:paraId="5FE98974" w14:textId="77777777" w:rsidR="009A0110" w:rsidRPr="0077656D" w:rsidRDefault="00B23806" w:rsidP="009A0110">
      <w:pPr>
        <w:pStyle w:val="ListParagraph"/>
        <w:numPr>
          <w:ilvl w:val="0"/>
          <w:numId w:val="5"/>
        </w:numPr>
        <w:autoSpaceDE w:val="0"/>
        <w:autoSpaceDN w:val="0"/>
        <w:adjustRightInd w:val="0"/>
        <w:spacing w:after="60"/>
        <w:rPr>
          <w:rFonts w:eastAsiaTheme="minorHAnsi" w:cs="Arial"/>
          <w:color w:val="000000"/>
          <w:sz w:val="18"/>
          <w:szCs w:val="18"/>
        </w:rPr>
      </w:pPr>
      <w:r w:rsidRPr="0077656D">
        <w:rPr>
          <w:rFonts w:eastAsiaTheme="minorHAnsi" w:cs="Arial"/>
          <w:color w:val="000000"/>
          <w:sz w:val="18"/>
          <w:szCs w:val="18"/>
        </w:rPr>
        <w:t xml:space="preserve">seek to resolve issues with HMRC in real time and before returns are filed if possible, and where disagreements arise, work with HMRC to resolve issues by agreement (where possible); </w:t>
      </w:r>
    </w:p>
    <w:p w14:paraId="640AB068" w14:textId="77777777" w:rsidR="009A0110" w:rsidRPr="0077656D" w:rsidRDefault="00B23806" w:rsidP="009A0110">
      <w:pPr>
        <w:pStyle w:val="ListParagraph"/>
        <w:numPr>
          <w:ilvl w:val="0"/>
          <w:numId w:val="5"/>
        </w:numPr>
        <w:autoSpaceDE w:val="0"/>
        <w:autoSpaceDN w:val="0"/>
        <w:adjustRightInd w:val="0"/>
        <w:spacing w:after="60"/>
        <w:rPr>
          <w:rFonts w:eastAsiaTheme="minorHAnsi" w:cs="Arial"/>
          <w:color w:val="000000"/>
          <w:sz w:val="18"/>
          <w:szCs w:val="18"/>
        </w:rPr>
      </w:pPr>
      <w:r w:rsidRPr="0077656D">
        <w:rPr>
          <w:rFonts w:eastAsiaTheme="minorHAnsi" w:cs="Arial"/>
          <w:color w:val="000000"/>
          <w:sz w:val="18"/>
          <w:szCs w:val="18"/>
        </w:rPr>
        <w:t xml:space="preserve">be open and transparent about decision-making, governance and tax planning; </w:t>
      </w:r>
    </w:p>
    <w:p w14:paraId="3A51C643" w14:textId="77777777" w:rsidR="009A0110" w:rsidRPr="0077656D" w:rsidRDefault="00B23806" w:rsidP="009A0110">
      <w:pPr>
        <w:pStyle w:val="ListParagraph"/>
        <w:numPr>
          <w:ilvl w:val="0"/>
          <w:numId w:val="5"/>
        </w:numPr>
        <w:autoSpaceDE w:val="0"/>
        <w:autoSpaceDN w:val="0"/>
        <w:adjustRightInd w:val="0"/>
        <w:spacing w:after="60"/>
        <w:rPr>
          <w:rFonts w:eastAsiaTheme="minorHAnsi" w:cs="Arial"/>
          <w:color w:val="000000"/>
          <w:sz w:val="18"/>
          <w:szCs w:val="18"/>
        </w:rPr>
      </w:pPr>
      <w:r w:rsidRPr="0077656D">
        <w:rPr>
          <w:rFonts w:eastAsiaTheme="minorHAnsi" w:cs="Arial"/>
          <w:color w:val="000000"/>
          <w:sz w:val="18"/>
          <w:szCs w:val="18"/>
        </w:rPr>
        <w:t xml:space="preserve">reasonably believe that transactions are structured to give a tax result which is not inconsistent with the economic consequences (unless specific legislation anticipates that result), nor contrary to the intentions of Parliament; and </w:t>
      </w:r>
    </w:p>
    <w:p w14:paraId="41E4AC59" w14:textId="64D77FE1" w:rsidR="00B23806" w:rsidRPr="0077656D" w:rsidRDefault="00B23806" w:rsidP="009A0110">
      <w:pPr>
        <w:pStyle w:val="ListParagraph"/>
        <w:numPr>
          <w:ilvl w:val="0"/>
          <w:numId w:val="5"/>
        </w:numPr>
        <w:autoSpaceDE w:val="0"/>
        <w:autoSpaceDN w:val="0"/>
        <w:adjustRightInd w:val="0"/>
        <w:spacing w:after="60"/>
        <w:rPr>
          <w:rFonts w:eastAsiaTheme="minorHAnsi" w:cs="Arial"/>
          <w:color w:val="000000"/>
          <w:sz w:val="18"/>
          <w:szCs w:val="18"/>
        </w:rPr>
      </w:pPr>
      <w:r w:rsidRPr="0077656D">
        <w:rPr>
          <w:rFonts w:eastAsiaTheme="minorHAnsi" w:cs="Arial"/>
          <w:color w:val="000000"/>
          <w:sz w:val="18"/>
          <w:szCs w:val="18"/>
        </w:rPr>
        <w:t>interpret the relevant laws in a reasonable way, and ensure transactions are structured consistently with a co-operative relationship.</w:t>
      </w:r>
    </w:p>
    <w:p w14:paraId="7CB4B8D5" w14:textId="77777777" w:rsidR="00B23806" w:rsidRPr="0077656D" w:rsidRDefault="00B23806" w:rsidP="00B23806">
      <w:pPr>
        <w:autoSpaceDE w:val="0"/>
        <w:autoSpaceDN w:val="0"/>
        <w:adjustRightInd w:val="0"/>
        <w:rPr>
          <w:rFonts w:eastAsiaTheme="minorHAnsi" w:cs="Arial"/>
          <w:color w:val="000000"/>
          <w:sz w:val="18"/>
          <w:szCs w:val="18"/>
        </w:rPr>
      </w:pPr>
    </w:p>
    <w:p w14:paraId="3C23AFCD" w14:textId="4D5E0913" w:rsidR="00B23806" w:rsidRPr="0077656D" w:rsidRDefault="00B23806" w:rsidP="00B23806">
      <w:pPr>
        <w:autoSpaceDE w:val="0"/>
        <w:autoSpaceDN w:val="0"/>
        <w:adjustRightInd w:val="0"/>
        <w:rPr>
          <w:rFonts w:eastAsiaTheme="minorHAnsi" w:cs="Arial"/>
          <w:color w:val="000000"/>
          <w:sz w:val="18"/>
          <w:szCs w:val="18"/>
        </w:rPr>
      </w:pPr>
      <w:r w:rsidRPr="0077656D">
        <w:rPr>
          <w:rFonts w:eastAsiaTheme="minorHAnsi" w:cs="Arial"/>
          <w:color w:val="000000"/>
          <w:sz w:val="18"/>
          <w:szCs w:val="18"/>
        </w:rPr>
        <w:t>In addition</w:t>
      </w:r>
      <w:r w:rsidR="00A7395C">
        <w:rPr>
          <w:rFonts w:eastAsiaTheme="minorHAnsi" w:cs="Arial"/>
          <w:color w:val="000000"/>
          <w:sz w:val="18"/>
          <w:szCs w:val="18"/>
        </w:rPr>
        <w:t>,</w:t>
      </w:r>
      <w:r w:rsidRPr="0077656D">
        <w:rPr>
          <w:rFonts w:eastAsiaTheme="minorHAnsi" w:cs="Arial"/>
          <w:color w:val="000000"/>
          <w:sz w:val="18"/>
          <w:szCs w:val="18"/>
        </w:rPr>
        <w:t xml:space="preserve"> the Group has robust processes and procedures, which are subject to internal audit, to ensure its Senior Accounting Officer </w:t>
      </w:r>
      <w:proofErr w:type="gramStart"/>
      <w:r w:rsidRPr="0077656D">
        <w:rPr>
          <w:rFonts w:eastAsiaTheme="minorHAnsi" w:cs="Arial"/>
          <w:color w:val="000000"/>
          <w:sz w:val="18"/>
          <w:szCs w:val="18"/>
        </w:rPr>
        <w:t>is able to</w:t>
      </w:r>
      <w:proofErr w:type="gramEnd"/>
      <w:r w:rsidRPr="0077656D">
        <w:rPr>
          <w:rFonts w:eastAsiaTheme="minorHAnsi" w:cs="Arial"/>
          <w:color w:val="000000"/>
          <w:sz w:val="18"/>
          <w:szCs w:val="18"/>
        </w:rPr>
        <w:t xml:space="preserve"> personally certify that its UK company systems are fit for the purpose of reporting taxes. We also believe it is right not to engage in any artificial tax planning or avoidance schemes with the aim of sheltering profits from UK taxation in tax havens or territories with lower corporate tax rates than those prevailing in the UK.</w:t>
      </w:r>
    </w:p>
    <w:p w14:paraId="401C1F05" w14:textId="77777777" w:rsidR="00B23806" w:rsidRPr="0077656D" w:rsidRDefault="00B23806" w:rsidP="00B23806">
      <w:pPr>
        <w:autoSpaceDE w:val="0"/>
        <w:autoSpaceDN w:val="0"/>
        <w:adjustRightInd w:val="0"/>
        <w:rPr>
          <w:rFonts w:eastAsiaTheme="minorHAnsi" w:cs="Arial"/>
          <w:color w:val="000000"/>
          <w:sz w:val="18"/>
          <w:szCs w:val="18"/>
        </w:rPr>
      </w:pPr>
    </w:p>
    <w:p w14:paraId="11DECA9A" w14:textId="77777777" w:rsidR="00B23806" w:rsidRPr="0077656D" w:rsidRDefault="00B23806" w:rsidP="00B23806">
      <w:pPr>
        <w:autoSpaceDE w:val="0"/>
        <w:autoSpaceDN w:val="0"/>
        <w:adjustRightInd w:val="0"/>
        <w:rPr>
          <w:rFonts w:eastAsiaTheme="minorHAnsi" w:cs="Arial"/>
          <w:color w:val="000000"/>
          <w:sz w:val="18"/>
          <w:szCs w:val="18"/>
        </w:rPr>
      </w:pPr>
    </w:p>
    <w:p w14:paraId="2B0F29DF" w14:textId="77777777" w:rsidR="00B23806" w:rsidRPr="0077656D" w:rsidRDefault="00B23806" w:rsidP="00B23806">
      <w:pPr>
        <w:rPr>
          <w:rFonts w:eastAsiaTheme="minorHAnsi" w:cs="Arial"/>
          <w:b/>
          <w:sz w:val="18"/>
          <w:szCs w:val="18"/>
        </w:rPr>
      </w:pPr>
      <w:r w:rsidRPr="0077656D">
        <w:rPr>
          <w:rFonts w:eastAsiaTheme="minorHAnsi" w:cs="Arial"/>
          <w:b/>
          <w:sz w:val="18"/>
          <w:szCs w:val="18"/>
        </w:rPr>
        <w:t>Formally adopted by the Board of Croda International Plc</w:t>
      </w:r>
    </w:p>
    <w:p w14:paraId="7FC62520" w14:textId="7A8AB817" w:rsidR="00B23806" w:rsidRPr="0077656D" w:rsidRDefault="00B23806" w:rsidP="00B23806">
      <w:pPr>
        <w:rPr>
          <w:rFonts w:cs="Arial"/>
          <w:sz w:val="18"/>
          <w:szCs w:val="18"/>
        </w:rPr>
      </w:pPr>
      <w:r w:rsidRPr="0077656D">
        <w:rPr>
          <w:rFonts w:eastAsiaTheme="minorHAnsi" w:cs="Arial"/>
          <w:b/>
          <w:sz w:val="18"/>
          <w:szCs w:val="18"/>
        </w:rPr>
        <w:t xml:space="preserve">on 31 October 2017 and </w:t>
      </w:r>
      <w:r w:rsidR="00484F13">
        <w:rPr>
          <w:rFonts w:eastAsiaTheme="minorHAnsi" w:cs="Arial"/>
          <w:b/>
          <w:sz w:val="18"/>
          <w:szCs w:val="18"/>
        </w:rPr>
        <w:t xml:space="preserve">most recently </w:t>
      </w:r>
      <w:r w:rsidRPr="0077656D">
        <w:rPr>
          <w:rFonts w:eastAsiaTheme="minorHAnsi" w:cs="Arial"/>
          <w:b/>
          <w:sz w:val="18"/>
          <w:szCs w:val="18"/>
        </w:rPr>
        <w:t xml:space="preserve">reviewed </w:t>
      </w:r>
      <w:r w:rsidR="00331620">
        <w:rPr>
          <w:rFonts w:eastAsiaTheme="minorHAnsi" w:cs="Arial"/>
          <w:b/>
          <w:sz w:val="18"/>
          <w:szCs w:val="18"/>
        </w:rPr>
        <w:t>on</w:t>
      </w:r>
      <w:r w:rsidR="007874BA">
        <w:rPr>
          <w:rFonts w:eastAsiaTheme="minorHAnsi" w:cs="Arial"/>
          <w:b/>
          <w:sz w:val="18"/>
          <w:szCs w:val="18"/>
        </w:rPr>
        <w:t xml:space="preserve"> </w:t>
      </w:r>
      <w:r w:rsidR="007F75F8">
        <w:rPr>
          <w:rFonts w:eastAsiaTheme="minorHAnsi" w:cs="Arial"/>
          <w:b/>
          <w:sz w:val="18"/>
          <w:szCs w:val="18"/>
        </w:rPr>
        <w:t xml:space="preserve">13 </w:t>
      </w:r>
      <w:r w:rsidR="007874BA" w:rsidRPr="001F7ABC">
        <w:rPr>
          <w:rFonts w:eastAsiaTheme="minorHAnsi" w:cs="Arial"/>
          <w:b/>
          <w:sz w:val="18"/>
          <w:szCs w:val="18"/>
        </w:rPr>
        <w:t xml:space="preserve">November </w:t>
      </w:r>
      <w:r w:rsidR="001F7ABC">
        <w:rPr>
          <w:rFonts w:eastAsiaTheme="minorHAnsi" w:cs="Arial"/>
          <w:b/>
          <w:sz w:val="18"/>
          <w:szCs w:val="18"/>
        </w:rPr>
        <w:t>202</w:t>
      </w:r>
      <w:r w:rsidR="00C8588B">
        <w:rPr>
          <w:rFonts w:eastAsiaTheme="minorHAnsi" w:cs="Arial"/>
          <w:b/>
          <w:sz w:val="18"/>
          <w:szCs w:val="18"/>
        </w:rPr>
        <w:t>4</w:t>
      </w:r>
    </w:p>
    <w:p w14:paraId="7F9D9621" w14:textId="1811FEA8" w:rsidR="007E532C" w:rsidRPr="008A28DD" w:rsidRDefault="007E532C" w:rsidP="00402852">
      <w:pPr>
        <w:rPr>
          <w:rFonts w:cs="Arial"/>
          <w:sz w:val="20"/>
        </w:rPr>
      </w:pPr>
    </w:p>
    <w:p w14:paraId="171FE512" w14:textId="15CD9427" w:rsidR="00863438" w:rsidRDefault="00863438" w:rsidP="00402852">
      <w:pPr>
        <w:rPr>
          <w:rFonts w:cs="Arial"/>
          <w:sz w:val="20"/>
        </w:rPr>
      </w:pPr>
    </w:p>
    <w:p w14:paraId="0AB9684C" w14:textId="77777777" w:rsidR="00BC6178" w:rsidRPr="008A28DD" w:rsidRDefault="00BC6178" w:rsidP="00402852">
      <w:pPr>
        <w:rPr>
          <w:rFonts w:cs="Arial"/>
          <w:sz w:val="20"/>
        </w:rPr>
      </w:pPr>
    </w:p>
    <w:p w14:paraId="12D41190" w14:textId="36C53714" w:rsidR="00863438" w:rsidRPr="00CA63BE" w:rsidRDefault="00CA63BE" w:rsidP="00402852">
      <w:pPr>
        <w:rPr>
          <w:rFonts w:cs="Arial"/>
          <w:i/>
          <w:iCs/>
          <w:sz w:val="18"/>
          <w:szCs w:val="18"/>
        </w:rPr>
      </w:pPr>
      <w:r w:rsidRPr="00CA63BE">
        <w:rPr>
          <w:rFonts w:cs="Arial"/>
          <w:i/>
          <w:iCs/>
          <w:sz w:val="18"/>
          <w:szCs w:val="18"/>
        </w:rPr>
        <w:t xml:space="preserve">Publication of this document is regarded as complying with the obligation under Para. 16(2) of Sch. 19 Finance Act 2016 in respect of the period ending 31 December </w:t>
      </w:r>
      <w:r w:rsidR="00922C25">
        <w:rPr>
          <w:rFonts w:cs="Arial"/>
          <w:i/>
          <w:iCs/>
          <w:sz w:val="18"/>
          <w:szCs w:val="18"/>
        </w:rPr>
        <w:t>2024</w:t>
      </w:r>
      <w:r w:rsidRPr="00CA63BE">
        <w:rPr>
          <w:rFonts w:cs="Arial"/>
          <w:i/>
          <w:iCs/>
          <w:sz w:val="18"/>
          <w:szCs w:val="18"/>
        </w:rPr>
        <w:t>.</w:t>
      </w:r>
    </w:p>
    <w:sectPr w:rsidR="00863438" w:rsidRPr="00CA63BE" w:rsidSect="0075644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40B2" w14:textId="77777777" w:rsidR="00C55B31" w:rsidRDefault="00C55B31">
      <w:r>
        <w:separator/>
      </w:r>
    </w:p>
  </w:endnote>
  <w:endnote w:type="continuationSeparator" w:id="0">
    <w:p w14:paraId="1907FEB3" w14:textId="77777777" w:rsidR="00C55B31" w:rsidRDefault="00C5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0ED1" w14:textId="77777777" w:rsidR="007E532C" w:rsidRDefault="007E5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76E69" w14:textId="77777777" w:rsidR="007E532C" w:rsidRDefault="007E5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25D25" w14:textId="77777777" w:rsidR="007E532C" w:rsidRDefault="007E5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796F3" w14:textId="77777777" w:rsidR="00C55B31" w:rsidRDefault="00C55B31">
      <w:r>
        <w:separator/>
      </w:r>
    </w:p>
  </w:footnote>
  <w:footnote w:type="continuationSeparator" w:id="0">
    <w:p w14:paraId="1EF11848" w14:textId="77777777" w:rsidR="00C55B31" w:rsidRDefault="00C55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4A03" w14:textId="77777777" w:rsidR="007E532C" w:rsidRDefault="007E5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78008" w14:textId="77777777" w:rsidR="007E532C" w:rsidRDefault="007E5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4F3F" w14:textId="77777777" w:rsidR="007E532C" w:rsidRDefault="007E5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C716B"/>
    <w:multiLevelType w:val="hybridMultilevel"/>
    <w:tmpl w:val="3F0E48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2039E1"/>
    <w:multiLevelType w:val="hybridMultilevel"/>
    <w:tmpl w:val="E02A6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03864"/>
    <w:multiLevelType w:val="hybridMultilevel"/>
    <w:tmpl w:val="3F0E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157753"/>
    <w:multiLevelType w:val="hybridMultilevel"/>
    <w:tmpl w:val="E3560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E358C8"/>
    <w:multiLevelType w:val="hybridMultilevel"/>
    <w:tmpl w:val="88C8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177EDF"/>
    <w:multiLevelType w:val="hybridMultilevel"/>
    <w:tmpl w:val="0656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94928">
    <w:abstractNumId w:val="2"/>
  </w:num>
  <w:num w:numId="2" w16cid:durableId="1886679491">
    <w:abstractNumId w:val="3"/>
  </w:num>
  <w:num w:numId="3" w16cid:durableId="1445147374">
    <w:abstractNumId w:val="1"/>
  </w:num>
  <w:num w:numId="4" w16cid:durableId="1591696607">
    <w:abstractNumId w:val="4"/>
  </w:num>
  <w:num w:numId="5" w16cid:durableId="675495171">
    <w:abstractNumId w:val="5"/>
  </w:num>
  <w:num w:numId="6" w16cid:durableId="195737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06"/>
    <w:rsid w:val="000000FD"/>
    <w:rsid w:val="00020537"/>
    <w:rsid w:val="000627E5"/>
    <w:rsid w:val="0006752A"/>
    <w:rsid w:val="0007635F"/>
    <w:rsid w:val="00086C65"/>
    <w:rsid w:val="00112194"/>
    <w:rsid w:val="00142AC3"/>
    <w:rsid w:val="00143465"/>
    <w:rsid w:val="00144679"/>
    <w:rsid w:val="00174021"/>
    <w:rsid w:val="001750D3"/>
    <w:rsid w:val="001A7FB4"/>
    <w:rsid w:val="001B2DC8"/>
    <w:rsid w:val="001C26AB"/>
    <w:rsid w:val="001C43C1"/>
    <w:rsid w:val="001F7ABC"/>
    <w:rsid w:val="002106F9"/>
    <w:rsid w:val="00225DD2"/>
    <w:rsid w:val="00230004"/>
    <w:rsid w:val="00241681"/>
    <w:rsid w:val="002617A5"/>
    <w:rsid w:val="002A72FB"/>
    <w:rsid w:val="00321504"/>
    <w:rsid w:val="00331390"/>
    <w:rsid w:val="00331620"/>
    <w:rsid w:val="00346DCB"/>
    <w:rsid w:val="0036634D"/>
    <w:rsid w:val="0038087D"/>
    <w:rsid w:val="0039221C"/>
    <w:rsid w:val="003A1E60"/>
    <w:rsid w:val="003B074B"/>
    <w:rsid w:val="003B27FD"/>
    <w:rsid w:val="003C6001"/>
    <w:rsid w:val="00402852"/>
    <w:rsid w:val="00424439"/>
    <w:rsid w:val="0042620D"/>
    <w:rsid w:val="004507CC"/>
    <w:rsid w:val="00473C9C"/>
    <w:rsid w:val="00484F13"/>
    <w:rsid w:val="00485EF8"/>
    <w:rsid w:val="0049756F"/>
    <w:rsid w:val="004B1EA0"/>
    <w:rsid w:val="004C173B"/>
    <w:rsid w:val="005220FF"/>
    <w:rsid w:val="005429D5"/>
    <w:rsid w:val="00547EF7"/>
    <w:rsid w:val="00557428"/>
    <w:rsid w:val="00581E2E"/>
    <w:rsid w:val="005B5B75"/>
    <w:rsid w:val="00617E2C"/>
    <w:rsid w:val="006418ED"/>
    <w:rsid w:val="006A7F39"/>
    <w:rsid w:val="006C77AD"/>
    <w:rsid w:val="007009C2"/>
    <w:rsid w:val="00722B2F"/>
    <w:rsid w:val="00724ECE"/>
    <w:rsid w:val="007311AE"/>
    <w:rsid w:val="00732A63"/>
    <w:rsid w:val="00746EDD"/>
    <w:rsid w:val="00756447"/>
    <w:rsid w:val="00761027"/>
    <w:rsid w:val="0077656D"/>
    <w:rsid w:val="007874BA"/>
    <w:rsid w:val="00795EC6"/>
    <w:rsid w:val="007D321D"/>
    <w:rsid w:val="007E532C"/>
    <w:rsid w:val="007F75F8"/>
    <w:rsid w:val="008410E8"/>
    <w:rsid w:val="00855126"/>
    <w:rsid w:val="00860B0D"/>
    <w:rsid w:val="00863438"/>
    <w:rsid w:val="008654BD"/>
    <w:rsid w:val="008A28DD"/>
    <w:rsid w:val="008B0908"/>
    <w:rsid w:val="008B27BD"/>
    <w:rsid w:val="008B3886"/>
    <w:rsid w:val="008C317E"/>
    <w:rsid w:val="009200FC"/>
    <w:rsid w:val="00922A3D"/>
    <w:rsid w:val="00922C25"/>
    <w:rsid w:val="00954932"/>
    <w:rsid w:val="0095770D"/>
    <w:rsid w:val="00962106"/>
    <w:rsid w:val="009A0110"/>
    <w:rsid w:val="009B4941"/>
    <w:rsid w:val="009C350E"/>
    <w:rsid w:val="009D1995"/>
    <w:rsid w:val="00A017F3"/>
    <w:rsid w:val="00A54569"/>
    <w:rsid w:val="00A7395C"/>
    <w:rsid w:val="00A834DD"/>
    <w:rsid w:val="00A875BE"/>
    <w:rsid w:val="00A96EC6"/>
    <w:rsid w:val="00AD5A68"/>
    <w:rsid w:val="00B23806"/>
    <w:rsid w:val="00B23B50"/>
    <w:rsid w:val="00B75194"/>
    <w:rsid w:val="00B921D7"/>
    <w:rsid w:val="00BB6FE0"/>
    <w:rsid w:val="00BC6178"/>
    <w:rsid w:val="00C0378F"/>
    <w:rsid w:val="00C55B31"/>
    <w:rsid w:val="00C8588B"/>
    <w:rsid w:val="00CA584A"/>
    <w:rsid w:val="00CA61D6"/>
    <w:rsid w:val="00CA63BE"/>
    <w:rsid w:val="00CD39A6"/>
    <w:rsid w:val="00D52D07"/>
    <w:rsid w:val="00D666FF"/>
    <w:rsid w:val="00D75ED6"/>
    <w:rsid w:val="00DB1F8E"/>
    <w:rsid w:val="00DC30FA"/>
    <w:rsid w:val="00DD502C"/>
    <w:rsid w:val="00DF6493"/>
    <w:rsid w:val="00E33C99"/>
    <w:rsid w:val="00E40DD3"/>
    <w:rsid w:val="00E60CE4"/>
    <w:rsid w:val="00E65345"/>
    <w:rsid w:val="00E74C58"/>
    <w:rsid w:val="00E9347E"/>
    <w:rsid w:val="00E95E09"/>
    <w:rsid w:val="00EA05D4"/>
    <w:rsid w:val="00ED2711"/>
    <w:rsid w:val="00F01922"/>
    <w:rsid w:val="00F02806"/>
    <w:rsid w:val="00F24763"/>
    <w:rsid w:val="00F25B67"/>
    <w:rsid w:val="00F71401"/>
    <w:rsid w:val="00FB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EB45"/>
  <w15:chartTrackingRefBased/>
  <w15:docId w15:val="{A95E9F28-8B2F-4787-A53D-44B99BB6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06"/>
    <w:pPr>
      <w:spacing w:after="0" w:line="240" w:lineRule="auto"/>
    </w:pPr>
    <w:rPr>
      <w:rFonts w:eastAsia="Times New Roman" w:cs="Times New Roman"/>
      <w:sz w:val="21"/>
      <w:szCs w:val="20"/>
    </w:rPr>
  </w:style>
  <w:style w:type="paragraph" w:styleId="Heading1">
    <w:name w:val="heading 1"/>
    <w:basedOn w:val="Normal"/>
    <w:next w:val="Normal"/>
    <w:link w:val="Heading1Char"/>
    <w:uiPriority w:val="9"/>
    <w:qFormat/>
    <w:rsid w:val="00756447"/>
    <w:pPr>
      <w:keepNext/>
      <w:keepLines/>
      <w:spacing w:before="480"/>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447"/>
    <w:pPr>
      <w:spacing w:after="0" w:line="240" w:lineRule="auto"/>
    </w:pPr>
    <w:rPr>
      <w:b/>
    </w:rPr>
  </w:style>
  <w:style w:type="character" w:customStyle="1" w:styleId="Heading1Char">
    <w:name w:val="Heading 1 Char"/>
    <w:basedOn w:val="DefaultParagraphFont"/>
    <w:link w:val="Heading1"/>
    <w:uiPriority w:val="9"/>
    <w:rsid w:val="00756447"/>
    <w:rPr>
      <w:rFonts w:eastAsiaTheme="majorEastAsia" w:cstheme="majorBidi"/>
      <w:b/>
      <w:bCs/>
      <w:szCs w:val="28"/>
      <w:u w:val="single"/>
    </w:rPr>
  </w:style>
  <w:style w:type="paragraph" w:styleId="Header">
    <w:name w:val="header"/>
    <w:basedOn w:val="Normal"/>
    <w:link w:val="HeaderChar"/>
    <w:uiPriority w:val="99"/>
    <w:unhideWhenUsed/>
    <w:rsid w:val="00B23806"/>
    <w:pPr>
      <w:tabs>
        <w:tab w:val="center" w:pos="4513"/>
        <w:tab w:val="right" w:pos="9026"/>
      </w:tabs>
    </w:pPr>
  </w:style>
  <w:style w:type="character" w:customStyle="1" w:styleId="HeaderChar">
    <w:name w:val="Header Char"/>
    <w:basedOn w:val="DefaultParagraphFont"/>
    <w:link w:val="Header"/>
    <w:uiPriority w:val="99"/>
    <w:rsid w:val="00B23806"/>
    <w:rPr>
      <w:rFonts w:eastAsia="Times New Roman" w:cs="Times New Roman"/>
      <w:sz w:val="21"/>
      <w:szCs w:val="20"/>
    </w:rPr>
  </w:style>
  <w:style w:type="paragraph" w:styleId="Footer">
    <w:name w:val="footer"/>
    <w:basedOn w:val="Normal"/>
    <w:link w:val="FooterChar"/>
    <w:uiPriority w:val="99"/>
    <w:unhideWhenUsed/>
    <w:rsid w:val="00B23806"/>
    <w:pPr>
      <w:tabs>
        <w:tab w:val="center" w:pos="4513"/>
        <w:tab w:val="right" w:pos="9026"/>
      </w:tabs>
    </w:pPr>
  </w:style>
  <w:style w:type="character" w:customStyle="1" w:styleId="FooterChar">
    <w:name w:val="Footer Char"/>
    <w:basedOn w:val="DefaultParagraphFont"/>
    <w:link w:val="Footer"/>
    <w:uiPriority w:val="99"/>
    <w:rsid w:val="00B23806"/>
    <w:rPr>
      <w:rFonts w:eastAsia="Times New Roman" w:cs="Times New Roman"/>
      <w:sz w:val="21"/>
      <w:szCs w:val="20"/>
    </w:rPr>
  </w:style>
  <w:style w:type="paragraph" w:styleId="ListParagraph">
    <w:name w:val="List Paragraph"/>
    <w:basedOn w:val="Normal"/>
    <w:uiPriority w:val="34"/>
    <w:qFormat/>
    <w:rsid w:val="009C350E"/>
    <w:pPr>
      <w:ind w:left="720"/>
      <w:contextualSpacing/>
    </w:pPr>
  </w:style>
  <w:style w:type="paragraph" w:styleId="BalloonText">
    <w:name w:val="Balloon Text"/>
    <w:basedOn w:val="Normal"/>
    <w:link w:val="BalloonTextChar"/>
    <w:uiPriority w:val="99"/>
    <w:semiHidden/>
    <w:unhideWhenUsed/>
    <w:rsid w:val="006A7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F39"/>
    <w:rPr>
      <w:rFonts w:ascii="Segoe UI" w:eastAsia="Times New Roman" w:hAnsi="Segoe UI" w:cs="Segoe UI"/>
      <w:sz w:val="18"/>
      <w:szCs w:val="18"/>
    </w:rPr>
  </w:style>
  <w:style w:type="paragraph" w:styleId="Revision">
    <w:name w:val="Revision"/>
    <w:hidden/>
    <w:uiPriority w:val="99"/>
    <w:semiHidden/>
    <w:rsid w:val="007874BA"/>
    <w:pPr>
      <w:spacing w:after="0" w:line="240" w:lineRule="auto"/>
    </w:pPr>
    <w:rPr>
      <w:rFonts w:eastAsia="Times New Roman" w:cs="Times New Roman"/>
      <w:sz w:val="21"/>
      <w:szCs w:val="20"/>
    </w:rPr>
  </w:style>
  <w:style w:type="character" w:styleId="CommentReference">
    <w:name w:val="annotation reference"/>
    <w:basedOn w:val="DefaultParagraphFont"/>
    <w:uiPriority w:val="99"/>
    <w:semiHidden/>
    <w:unhideWhenUsed/>
    <w:rsid w:val="00722B2F"/>
    <w:rPr>
      <w:sz w:val="16"/>
      <w:szCs w:val="16"/>
    </w:rPr>
  </w:style>
  <w:style w:type="paragraph" w:styleId="CommentText">
    <w:name w:val="annotation text"/>
    <w:basedOn w:val="Normal"/>
    <w:link w:val="CommentTextChar"/>
    <w:uiPriority w:val="99"/>
    <w:unhideWhenUsed/>
    <w:rsid w:val="00722B2F"/>
    <w:rPr>
      <w:sz w:val="20"/>
    </w:rPr>
  </w:style>
  <w:style w:type="character" w:customStyle="1" w:styleId="CommentTextChar">
    <w:name w:val="Comment Text Char"/>
    <w:basedOn w:val="DefaultParagraphFont"/>
    <w:link w:val="CommentText"/>
    <w:uiPriority w:val="99"/>
    <w:rsid w:val="00722B2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2B2F"/>
    <w:rPr>
      <w:b/>
      <w:bCs/>
    </w:rPr>
  </w:style>
  <w:style w:type="character" w:customStyle="1" w:styleId="CommentSubjectChar">
    <w:name w:val="Comment Subject Char"/>
    <w:basedOn w:val="CommentTextChar"/>
    <w:link w:val="CommentSubject"/>
    <w:uiPriority w:val="99"/>
    <w:semiHidden/>
    <w:rsid w:val="00722B2F"/>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6DDEF79C0E945A8306C80E88891D4" ma:contentTypeVersion="8" ma:contentTypeDescription="Create a new document." ma:contentTypeScope="" ma:versionID="7e32999e4bf7e81814c21895f86df47d">
  <xsd:schema xmlns:xsd="http://www.w3.org/2001/XMLSchema" xmlns:xs="http://www.w3.org/2001/XMLSchema" xmlns:p="http://schemas.microsoft.com/office/2006/metadata/properties" xmlns:ns3="32173099-a74b-4eba-ae32-bf106b2df558" targetNamespace="http://schemas.microsoft.com/office/2006/metadata/properties" ma:root="true" ma:fieldsID="98ed2e634d7d236676ebb2e7cedf8f53" ns3:_="">
    <xsd:import namespace="32173099-a74b-4eba-ae32-bf106b2df5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73099-a74b-4eba-ae32-bf106b2df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DEC5B-69B7-4AE1-B14A-BFF2C5BDF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73099-a74b-4eba-ae32-bf106b2df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9323A-EB4B-479E-8136-82E330D00B75}">
  <ds:schemaRefs>
    <ds:schemaRef ds:uri="http://schemas.openxmlformats.org/officeDocument/2006/bibliography"/>
  </ds:schemaRefs>
</ds:datastoreItem>
</file>

<file path=customXml/itemProps3.xml><?xml version="1.0" encoding="utf-8"?>
<ds:datastoreItem xmlns:ds="http://schemas.openxmlformats.org/officeDocument/2006/customXml" ds:itemID="{96433BCC-1996-4E42-B785-69B44E44315F}">
  <ds:schemaRefs>
    <ds:schemaRef ds:uri="http://purl.org/dc/terms/"/>
    <ds:schemaRef ds:uri="http://schemas.microsoft.com/office/2006/documentManagement/types"/>
    <ds:schemaRef ds:uri="32173099-a74b-4eba-ae32-bf106b2df558"/>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0265C93-415A-46F2-99E7-E1FD757DB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Tanna, Ritesh</dc:creator>
  <cp:keywords/>
  <dc:description/>
  <cp:lastModifiedBy>Tanna, Ritesh</cp:lastModifiedBy>
  <cp:revision>9</cp:revision>
  <cp:lastPrinted>2024-10-23T08:54:00Z</cp:lastPrinted>
  <dcterms:created xsi:type="dcterms:W3CDTF">2024-10-23T12:51:00Z</dcterms:created>
  <dcterms:modified xsi:type="dcterms:W3CDTF">2024-11-13T17:15:00Z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0x0101006766DDEF79C0E945A8306C80E88891D4</vt:lpwstr>
  </property>
</Properties>
</file>